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FE27E" w14:textId="77777777" w:rsidR="000F5BA5" w:rsidRDefault="00000000">
      <w:pPr>
        <w:pStyle w:val="Title"/>
      </w:pPr>
      <w:bookmarkStart w:id="0" w:name="_heading=h.slc86zc9s8dk" w:colFirst="0" w:colLast="0"/>
      <w:bookmarkEnd w:id="0"/>
      <w:r>
        <w:t>FAQ: Premium Tax Credits (PTCs) and Cost-Sharing Reductions (CSRs)</w:t>
      </w:r>
    </w:p>
    <w:p w14:paraId="6F00F5AE" w14:textId="77777777" w:rsidR="000F5BA5" w:rsidRDefault="00000000">
      <w:pPr>
        <w:rPr>
          <w:i/>
          <w:iCs/>
          <w:color w:val="666666"/>
        </w:rPr>
      </w:pPr>
      <w:r>
        <w:rPr>
          <w:i/>
          <w:iCs/>
          <w:color w:val="666666"/>
        </w:rPr>
        <w:t>October 2026</w:t>
      </w:r>
    </w:p>
    <w:p w14:paraId="12DE026F" w14:textId="77777777" w:rsidR="000F5BA5" w:rsidRDefault="00000000">
      <w:r>
        <w:t>ACE TA Center</w:t>
      </w:r>
    </w:p>
    <w:p w14:paraId="6A10174A" w14:textId="77777777" w:rsidR="000F5BA5" w:rsidRDefault="000F5BA5"/>
    <w:p w14:paraId="065A7037" w14:textId="59F68548" w:rsidR="000F5BA5" w:rsidRDefault="00000000">
      <w:r>
        <w:t xml:space="preserve">Affordability options and lower rates are available for many consumers getting healthcare coverage through the Marketplace. Learn how </w:t>
      </w:r>
      <w:r>
        <w:rPr>
          <w:b/>
          <w:bCs/>
        </w:rPr>
        <w:t>Premium Tax Credits</w:t>
      </w:r>
      <w:r>
        <w:t xml:space="preserve"> (PTCs) and </w:t>
      </w:r>
      <w:r>
        <w:rPr>
          <w:b/>
          <w:bCs/>
        </w:rPr>
        <w:t xml:space="preserve">Cost-Sharing Reductions </w:t>
      </w:r>
      <w:r>
        <w:t>(CSRs) can help Ryan White HIV/AIDS Program (RWHAP) clients pay for health insurance.</w:t>
      </w:r>
    </w:p>
    <w:p w14:paraId="568FAAE5" w14:textId="77777777" w:rsidR="000F5BA5" w:rsidRDefault="000F5BA5"/>
    <w:p w14:paraId="609C06E1" w14:textId="77777777" w:rsidR="000F5BA5" w:rsidRDefault="00000000">
      <w:pPr>
        <w:pStyle w:val="Heading1"/>
        <w:keepNext w:val="0"/>
        <w:keepLines w:val="0"/>
      </w:pPr>
      <w:bookmarkStart w:id="1" w:name="_heading=h.p0d3f2j99ezk" w:colFirst="0" w:colLast="0"/>
      <w:bookmarkEnd w:id="1"/>
      <w:r>
        <w:t>Premium Tax Credit (PTC)</w:t>
      </w:r>
    </w:p>
    <w:p w14:paraId="5CC0D0F6" w14:textId="77777777" w:rsidR="000F5BA5" w:rsidRDefault="00000000">
      <w:r>
        <w:t>Premium tax credits help lower the cost of premiums for health coverage purchased through the Health Insurance Marketplace. Advance payments of the tax credit can be used right away to lower your monthly premium costs.</w:t>
      </w:r>
    </w:p>
    <w:p w14:paraId="6C1D446E" w14:textId="77777777" w:rsidR="000F5BA5" w:rsidRDefault="000F5BA5"/>
    <w:p w14:paraId="39D732B6" w14:textId="77777777" w:rsidR="000F5BA5" w:rsidRDefault="00000000">
      <w:pPr>
        <w:pStyle w:val="Heading1"/>
        <w:keepNext w:val="0"/>
        <w:keepLines w:val="0"/>
      </w:pPr>
      <w:bookmarkStart w:id="2" w:name="_heading=h.26dr4xj70vje" w:colFirst="0" w:colLast="0"/>
      <w:bookmarkEnd w:id="2"/>
      <w:r>
        <w:t>Cost-Sharing Reduction (CSR)</w:t>
      </w:r>
    </w:p>
    <w:p w14:paraId="0FC1489C" w14:textId="77777777" w:rsidR="000F5BA5" w:rsidRDefault="00000000">
      <w:r>
        <w:t xml:space="preserve">A discount that lowers the amount individuals and families </w:t>
      </w:r>
      <w:proofErr w:type="gramStart"/>
      <w:r>
        <w:t>have to</w:t>
      </w:r>
      <w:proofErr w:type="gramEnd"/>
      <w:r>
        <w:t xml:space="preserve"> pay out-of-pocket for deductibles, coinsurance, and copayments. CSRs are NOT used to pay premiums.</w:t>
      </w:r>
    </w:p>
    <w:p w14:paraId="050B5002" w14:textId="77777777" w:rsidR="000F5BA5" w:rsidRDefault="00000000">
      <w:r>
        <w:t xml:space="preserve">If eligible, a person may receive </w:t>
      </w:r>
      <w:r>
        <w:rPr>
          <w:b/>
          <w:bCs/>
        </w:rPr>
        <w:t>both</w:t>
      </w:r>
      <w:r>
        <w:t xml:space="preserve"> a PTC and a CSR. People who apply for PTCs are automatically assessed for CSRs.</w:t>
      </w:r>
    </w:p>
    <w:p w14:paraId="1E090D35" w14:textId="77777777" w:rsidR="000F5BA5" w:rsidRDefault="000F5BA5"/>
    <w:p w14:paraId="5C4C71BC" w14:textId="77777777" w:rsidR="000F5BA5" w:rsidRDefault="00000000">
      <w:pPr>
        <w:pStyle w:val="Heading1"/>
        <w:keepNext w:val="0"/>
        <w:keepLines w:val="0"/>
      </w:pPr>
      <w:bookmarkStart w:id="3" w:name="_heading=h.4gree2od17un" w:colFirst="0" w:colLast="0"/>
      <w:bookmarkEnd w:id="3"/>
      <w:r>
        <w:t>Frequently Asked Questions</w:t>
      </w:r>
    </w:p>
    <w:p w14:paraId="7BB41E12" w14:textId="77777777" w:rsidR="000F5BA5" w:rsidRDefault="00000000">
      <w:pPr>
        <w:numPr>
          <w:ilvl w:val="0"/>
          <w:numId w:val="1"/>
        </w:numPr>
      </w:pPr>
      <w:hyperlink r:id="rId6" w:anchor="q1">
        <w:r>
          <w:rPr>
            <w:color w:val="1976D2"/>
          </w:rPr>
          <w:t>Who is eligible?</w:t>
        </w:r>
      </w:hyperlink>
    </w:p>
    <w:p w14:paraId="47F2A481" w14:textId="77777777" w:rsidR="000F5BA5" w:rsidRDefault="00000000">
      <w:pPr>
        <w:numPr>
          <w:ilvl w:val="0"/>
          <w:numId w:val="1"/>
        </w:numPr>
      </w:pPr>
      <w:hyperlink r:id="rId7" w:anchor="q2">
        <w:r>
          <w:rPr>
            <w:color w:val="1976D2"/>
          </w:rPr>
          <w:t>How much financial help is available?</w:t>
        </w:r>
      </w:hyperlink>
    </w:p>
    <w:p w14:paraId="429DCE64" w14:textId="77777777" w:rsidR="000F5BA5" w:rsidRDefault="00000000">
      <w:pPr>
        <w:numPr>
          <w:ilvl w:val="0"/>
          <w:numId w:val="1"/>
        </w:numPr>
      </w:pPr>
      <w:hyperlink r:id="rId8" w:anchor="q3">
        <w:r>
          <w:rPr>
            <w:color w:val="1976D2"/>
          </w:rPr>
          <w:t>What income is considered?</w:t>
        </w:r>
      </w:hyperlink>
    </w:p>
    <w:p w14:paraId="3B03B0E3" w14:textId="77777777" w:rsidR="000F5BA5" w:rsidRDefault="00000000">
      <w:pPr>
        <w:numPr>
          <w:ilvl w:val="0"/>
          <w:numId w:val="1"/>
        </w:numPr>
      </w:pPr>
      <w:hyperlink r:id="rId9" w:anchor="q4">
        <w:r>
          <w:rPr>
            <w:color w:val="1976D2"/>
          </w:rPr>
          <w:t>How are PTCs and CSRs given out?</w:t>
        </w:r>
      </w:hyperlink>
    </w:p>
    <w:p w14:paraId="17A5D726" w14:textId="77777777" w:rsidR="000F5BA5" w:rsidRDefault="00000000">
      <w:pPr>
        <w:numPr>
          <w:ilvl w:val="0"/>
          <w:numId w:val="1"/>
        </w:numPr>
      </w:pPr>
      <w:hyperlink r:id="rId10" w:anchor="q5">
        <w:r>
          <w:rPr>
            <w:color w:val="1976D2"/>
          </w:rPr>
          <w:t>Do clients need to file a federal tax return?</w:t>
        </w:r>
      </w:hyperlink>
    </w:p>
    <w:p w14:paraId="503B88BF" w14:textId="77777777" w:rsidR="000F5BA5" w:rsidRDefault="00000000">
      <w:pPr>
        <w:numPr>
          <w:ilvl w:val="0"/>
          <w:numId w:val="1"/>
        </w:numPr>
      </w:pPr>
      <w:hyperlink r:id="rId11" w:anchor="q6">
        <w:r>
          <w:rPr>
            <w:color w:val="1976D2"/>
          </w:rPr>
          <w:t>How do clients apply for a PTC or CSR?</w:t>
        </w:r>
      </w:hyperlink>
    </w:p>
    <w:p w14:paraId="16F9ED38" w14:textId="77777777" w:rsidR="000F5BA5" w:rsidRDefault="00000000">
      <w:pPr>
        <w:numPr>
          <w:ilvl w:val="0"/>
          <w:numId w:val="1"/>
        </w:numPr>
      </w:pPr>
      <w:hyperlink r:id="rId12" w:anchor="q7">
        <w:r>
          <w:rPr>
            <w:color w:val="1976D2"/>
          </w:rPr>
          <w:t xml:space="preserve">Can a PTC or CSR be used for any Qualified Health Plan </w:t>
        </w:r>
        <w:proofErr w:type="gramStart"/>
        <w:r>
          <w:rPr>
            <w:color w:val="1976D2"/>
          </w:rPr>
          <w:t>on</w:t>
        </w:r>
        <w:proofErr w:type="gramEnd"/>
        <w:r>
          <w:rPr>
            <w:color w:val="1976D2"/>
          </w:rPr>
          <w:t xml:space="preserve"> the Marketplace?</w:t>
        </w:r>
      </w:hyperlink>
    </w:p>
    <w:p w14:paraId="0D0E2B0E" w14:textId="77777777" w:rsidR="000F5BA5" w:rsidRDefault="00000000">
      <w:pPr>
        <w:numPr>
          <w:ilvl w:val="0"/>
          <w:numId w:val="1"/>
        </w:numPr>
      </w:pPr>
      <w:hyperlink r:id="rId13" w:anchor="q8">
        <w:r>
          <w:rPr>
            <w:color w:val="1976D2"/>
          </w:rPr>
          <w:t>Will clients still have to pay for coverage?</w:t>
        </w:r>
      </w:hyperlink>
    </w:p>
    <w:p w14:paraId="739663EB" w14:textId="77777777" w:rsidR="000F5BA5" w:rsidRDefault="00000000">
      <w:pPr>
        <w:numPr>
          <w:ilvl w:val="0"/>
          <w:numId w:val="1"/>
        </w:numPr>
      </w:pPr>
      <w:hyperlink r:id="rId14" w:anchor="q9">
        <w:r>
          <w:rPr>
            <w:color w:val="1976D2"/>
          </w:rPr>
          <w:t xml:space="preserve">Can ADAPs help if the cost of care with </w:t>
        </w:r>
        <w:proofErr w:type="gramStart"/>
        <w:r>
          <w:rPr>
            <w:color w:val="1976D2"/>
          </w:rPr>
          <w:t>a PTC</w:t>
        </w:r>
        <w:proofErr w:type="gramEnd"/>
        <w:r>
          <w:rPr>
            <w:color w:val="1976D2"/>
          </w:rPr>
          <w:t xml:space="preserve"> and CSR is still unaffordable?</w:t>
        </w:r>
      </w:hyperlink>
    </w:p>
    <w:p w14:paraId="6B84122C" w14:textId="77777777" w:rsidR="000F5BA5" w:rsidRDefault="00000000">
      <w:pPr>
        <w:numPr>
          <w:ilvl w:val="0"/>
          <w:numId w:val="1"/>
        </w:numPr>
      </w:pPr>
      <w:hyperlink r:id="rId15" w:anchor="q10">
        <w:r>
          <w:rPr>
            <w:color w:val="1976D2"/>
          </w:rPr>
          <w:t>How do clients renew their financial assistance?</w:t>
        </w:r>
      </w:hyperlink>
    </w:p>
    <w:p w14:paraId="44BA2017" w14:textId="77777777" w:rsidR="000F5BA5" w:rsidRDefault="00000000">
      <w:pPr>
        <w:numPr>
          <w:ilvl w:val="0"/>
          <w:numId w:val="1"/>
        </w:numPr>
      </w:pPr>
      <w:hyperlink r:id="rId16" w:anchor="q11">
        <w:r>
          <w:rPr>
            <w:color w:val="1976D2"/>
          </w:rPr>
          <w:t>What if a client’s circumstances change?</w:t>
        </w:r>
      </w:hyperlink>
    </w:p>
    <w:p w14:paraId="336DE0CE" w14:textId="77777777" w:rsidR="000F5BA5" w:rsidRDefault="00000000">
      <w:pPr>
        <w:numPr>
          <w:ilvl w:val="0"/>
          <w:numId w:val="1"/>
        </w:numPr>
      </w:pPr>
      <w:hyperlink r:id="rId17" w:anchor="q12">
        <w:r>
          <w:rPr>
            <w:color w:val="1976D2"/>
          </w:rPr>
          <w:t>Is financial assistance reviewed at the end of the year to account for changes in clients’ circumstances?</w:t>
        </w:r>
      </w:hyperlink>
    </w:p>
    <w:p w14:paraId="19561F7F" w14:textId="77777777" w:rsidR="000F5BA5" w:rsidRDefault="00000000">
      <w:pPr>
        <w:numPr>
          <w:ilvl w:val="0"/>
          <w:numId w:val="1"/>
        </w:numPr>
      </w:pPr>
      <w:hyperlink r:id="rId18" w:anchor="q13">
        <w:r>
          <w:rPr>
            <w:color w:val="1976D2"/>
          </w:rPr>
          <w:t>Does immigration status affect eligibility for financial help in the Marketplace?</w:t>
        </w:r>
      </w:hyperlink>
    </w:p>
    <w:p w14:paraId="18030AC1" w14:textId="77777777" w:rsidR="000F5BA5" w:rsidRDefault="00000000">
      <w:pPr>
        <w:numPr>
          <w:ilvl w:val="0"/>
          <w:numId w:val="1"/>
        </w:numPr>
      </w:pPr>
      <w:hyperlink r:id="rId19" w:anchor="q14">
        <w:r>
          <w:rPr>
            <w:color w:val="1976D2"/>
          </w:rPr>
          <w:t>How do PTCs and CSRs compare?</w:t>
        </w:r>
      </w:hyperlink>
    </w:p>
    <w:p w14:paraId="47C049C2" w14:textId="77777777" w:rsidR="000F5BA5" w:rsidRDefault="000F5BA5"/>
    <w:p w14:paraId="36DA616F" w14:textId="77777777" w:rsidR="000F5BA5" w:rsidRDefault="00000000">
      <w:pPr>
        <w:pStyle w:val="Heading1"/>
        <w:keepNext w:val="0"/>
        <w:keepLines w:val="0"/>
      </w:pPr>
      <w:bookmarkStart w:id="4" w:name="_heading=h.wqqts2bdrjyr" w:colFirst="0" w:colLast="0"/>
      <w:bookmarkEnd w:id="4"/>
      <w:r>
        <w:t>Answers</w:t>
      </w:r>
    </w:p>
    <w:p w14:paraId="72D89D83" w14:textId="77777777" w:rsidR="000F5BA5" w:rsidRDefault="000F5BA5"/>
    <w:p w14:paraId="7B1FA1A6" w14:textId="77777777" w:rsidR="000F5BA5" w:rsidRDefault="00000000">
      <w:pPr>
        <w:pStyle w:val="Heading2"/>
      </w:pPr>
      <w:bookmarkStart w:id="5" w:name="_heading=h.jxnq5farh5ki" w:colFirst="0" w:colLast="0"/>
      <w:bookmarkEnd w:id="5"/>
      <w:r>
        <w:t>1. Who is eligible?</w:t>
      </w:r>
    </w:p>
    <w:p w14:paraId="07894F46" w14:textId="77777777" w:rsidR="000F5BA5" w:rsidRDefault="00000000">
      <w:pPr>
        <w:rPr>
          <w:b/>
          <w:bCs/>
        </w:rPr>
      </w:pPr>
      <w:r>
        <w:rPr>
          <w:b/>
          <w:bCs/>
          <w:noProof/>
        </w:rPr>
        <w:drawing>
          <wp:inline distT="114300" distB="114300" distL="114300" distR="114300" wp14:anchorId="5C9DC3A9" wp14:editId="2B6804FC">
            <wp:extent cx="355600" cy="215900"/>
            <wp:effectExtent l="0" t="0" r="0" b="0"/>
            <wp:docPr id="110" name="image5.png" descr="APTC"/>
            <wp:cNvGraphicFramePr/>
            <a:graphic xmlns:a="http://schemas.openxmlformats.org/drawingml/2006/main">
              <a:graphicData uri="http://schemas.openxmlformats.org/drawingml/2006/picture">
                <pic:pic xmlns:pic="http://schemas.openxmlformats.org/drawingml/2006/picture">
                  <pic:nvPicPr>
                    <pic:cNvPr id="0" name="image5.png" descr="APTC"/>
                    <pic:cNvPicPr preferRelativeResize="0"/>
                  </pic:nvPicPr>
                  <pic:blipFill>
                    <a:blip r:embed="rId20"/>
                    <a:srcRect/>
                    <a:stretch>
                      <a:fillRect/>
                    </a:stretch>
                  </pic:blipFill>
                  <pic:spPr>
                    <a:xfrm>
                      <a:off x="0" y="0"/>
                      <a:ext cx="355600" cy="215900"/>
                    </a:xfrm>
                    <a:prstGeom prst="rect">
                      <a:avLst/>
                    </a:prstGeom>
                    <a:ln/>
                  </pic:spPr>
                </pic:pic>
              </a:graphicData>
            </a:graphic>
          </wp:inline>
        </w:drawing>
      </w:r>
      <w:r>
        <w:rPr>
          <w:b/>
          <w:bCs/>
        </w:rPr>
        <w:t xml:space="preserve"> </w:t>
      </w:r>
    </w:p>
    <w:p w14:paraId="39B2EE8C" w14:textId="77777777" w:rsidR="000F5BA5" w:rsidRDefault="00000000">
      <w:r>
        <w:t xml:space="preserve">Individuals may be eligible for a premium tax credit if they meet </w:t>
      </w:r>
      <w:proofErr w:type="gramStart"/>
      <w:r>
        <w:t>all of</w:t>
      </w:r>
      <w:proofErr w:type="gramEnd"/>
      <w:r>
        <w:t xml:space="preserve"> the following criteria:</w:t>
      </w:r>
    </w:p>
    <w:p w14:paraId="20763A97" w14:textId="77777777" w:rsidR="000F5BA5" w:rsidRDefault="00000000">
      <w:pPr>
        <w:numPr>
          <w:ilvl w:val="0"/>
          <w:numId w:val="5"/>
        </w:numPr>
      </w:pPr>
      <w:r>
        <w:t xml:space="preserve">Buy health insurance through the Marketplace </w:t>
      </w:r>
    </w:p>
    <w:p w14:paraId="72B28280" w14:textId="77777777" w:rsidR="000F5BA5" w:rsidRDefault="00000000">
      <w:pPr>
        <w:numPr>
          <w:ilvl w:val="0"/>
          <w:numId w:val="5"/>
        </w:numPr>
      </w:pPr>
      <w:r>
        <w:t xml:space="preserve">Have an annual household income between 100% and 400% of the Federal Poverty Level (FPL) </w:t>
      </w:r>
    </w:p>
    <w:p w14:paraId="45456BED" w14:textId="77777777" w:rsidR="000F5BA5" w:rsidRDefault="000F5BA5">
      <w:pPr>
        <w:ind w:left="1440"/>
      </w:pPr>
    </w:p>
    <w:p w14:paraId="134A2DA8" w14:textId="77777777" w:rsidR="000F5BA5" w:rsidRDefault="00000000">
      <w:pPr>
        <w:numPr>
          <w:ilvl w:val="0"/>
          <w:numId w:val="5"/>
        </w:numPr>
        <w:rPr>
          <w:b/>
          <w:bCs/>
        </w:rPr>
      </w:pPr>
      <w:r>
        <w:rPr>
          <w:b/>
          <w:bCs/>
        </w:rPr>
        <w:t>Are ineligible for other "minimum essential coverage" (MEC).</w:t>
      </w:r>
    </w:p>
    <w:p w14:paraId="1FC62F3E" w14:textId="77777777" w:rsidR="000F5BA5" w:rsidRDefault="00000000">
      <w:pPr>
        <w:numPr>
          <w:ilvl w:val="0"/>
          <w:numId w:val="3"/>
        </w:numPr>
      </w:pPr>
      <w:hyperlink r:id="rId21">
        <w:r>
          <w:rPr>
            <w:color w:val="1155CC"/>
            <w:u w:val="single"/>
          </w:rPr>
          <w:t>Minimum essential coverage</w:t>
        </w:r>
      </w:hyperlink>
      <w:r>
        <w:t xml:space="preserve"> includes most other types of health insurance such as Medicare or Medicaid. It also includes employer-sponsored coverage that is </w:t>
      </w:r>
      <w:r>
        <w:rPr>
          <w:i/>
          <w:iCs/>
        </w:rPr>
        <w:t>affordable</w:t>
      </w:r>
      <w:r>
        <w:t xml:space="preserve"> and provides </w:t>
      </w:r>
      <w:r>
        <w:rPr>
          <w:i/>
          <w:iCs/>
        </w:rPr>
        <w:t>minimum value</w:t>
      </w:r>
      <w:r>
        <w:t>. Employers must notify employees if plans meet these two requirements.</w:t>
      </w:r>
    </w:p>
    <w:p w14:paraId="110F339F" w14:textId="77777777" w:rsidR="000F5BA5" w:rsidRDefault="00000000">
      <w:pPr>
        <w:numPr>
          <w:ilvl w:val="0"/>
          <w:numId w:val="3"/>
        </w:numPr>
      </w:pPr>
      <w:r>
        <w:t xml:space="preserve">Employer-sponsored coverage is considered "affordable" if the employee's required contribution for self-only coverage does not exceed </w:t>
      </w:r>
      <w:r>
        <w:rPr>
          <w:b/>
          <w:bCs/>
        </w:rPr>
        <w:t>9.96%</w:t>
      </w:r>
      <w:r>
        <w:t xml:space="preserve"> of household income. Employers must notify employees if plans meet affordability and minimum value requirements.</w:t>
      </w:r>
    </w:p>
    <w:p w14:paraId="0F3C02ED" w14:textId="77777777" w:rsidR="000F5BA5" w:rsidRDefault="00000000">
      <w:pPr>
        <w:numPr>
          <w:ilvl w:val="0"/>
          <w:numId w:val="7"/>
        </w:numPr>
        <w:rPr>
          <w:b/>
          <w:bCs/>
        </w:rPr>
      </w:pPr>
      <w:r>
        <w:rPr>
          <w:b/>
          <w:bCs/>
        </w:rPr>
        <w:lastRenderedPageBreak/>
        <w:t>Are ineligible for Medicare, Medicaid, Children’s Health Insurance Program (CHIP), or TRICARE programs.</w:t>
      </w:r>
    </w:p>
    <w:p w14:paraId="0C48FF5D" w14:textId="77777777" w:rsidR="000F5BA5" w:rsidRDefault="00000000">
      <w:pPr>
        <w:numPr>
          <w:ilvl w:val="0"/>
          <w:numId w:val="7"/>
        </w:numPr>
      </w:pPr>
      <w:r>
        <w:rPr>
          <w:b/>
          <w:bCs/>
        </w:rPr>
        <w:t>Do not file a Married Filing Separately tax return</w:t>
      </w:r>
      <w:r>
        <w:t xml:space="preserve"> (unless the individual qualifies for an exception as a victim of domestic abuse or spousal abandonment).</w:t>
      </w:r>
    </w:p>
    <w:p w14:paraId="67794E47" w14:textId="77777777" w:rsidR="000F5BA5" w:rsidRDefault="00000000">
      <w:pPr>
        <w:numPr>
          <w:ilvl w:val="0"/>
          <w:numId w:val="7"/>
        </w:numPr>
      </w:pPr>
      <w:r>
        <w:rPr>
          <w:b/>
          <w:bCs/>
        </w:rPr>
        <w:t>Cannot be claimed as a dependent</w:t>
      </w:r>
      <w:r>
        <w:t xml:space="preserve"> on another taxpayer's return.</w:t>
      </w:r>
    </w:p>
    <w:p w14:paraId="33BCDC2D" w14:textId="77777777" w:rsidR="000F5BA5" w:rsidRDefault="000F5BA5">
      <w:pPr>
        <w:ind w:left="720"/>
      </w:pPr>
    </w:p>
    <w:p w14:paraId="6F5770C7" w14:textId="77777777" w:rsidR="000F5BA5" w:rsidRDefault="000F5BA5"/>
    <w:p w14:paraId="088E789C" w14:textId="77777777" w:rsidR="000F5BA5" w:rsidRDefault="00000000">
      <w:r>
        <w:rPr>
          <w:noProof/>
        </w:rPr>
        <w:drawing>
          <wp:inline distT="114300" distB="114300" distL="114300" distR="114300" wp14:anchorId="5094022D" wp14:editId="59244EE3">
            <wp:extent cx="355600" cy="215900"/>
            <wp:effectExtent l="0" t="0" r="0" b="0"/>
            <wp:docPr id="112" name="image4.png" descr="CSR"/>
            <wp:cNvGraphicFramePr/>
            <a:graphic xmlns:a="http://schemas.openxmlformats.org/drawingml/2006/main">
              <a:graphicData uri="http://schemas.openxmlformats.org/drawingml/2006/picture">
                <pic:pic xmlns:pic="http://schemas.openxmlformats.org/drawingml/2006/picture">
                  <pic:nvPicPr>
                    <pic:cNvPr id="0" name="image4.png" descr="CSR"/>
                    <pic:cNvPicPr preferRelativeResize="0"/>
                  </pic:nvPicPr>
                  <pic:blipFill>
                    <a:blip r:embed="rId22"/>
                    <a:srcRect/>
                    <a:stretch>
                      <a:fillRect/>
                    </a:stretch>
                  </pic:blipFill>
                  <pic:spPr>
                    <a:xfrm>
                      <a:off x="0" y="0"/>
                      <a:ext cx="355600" cy="215900"/>
                    </a:xfrm>
                    <a:prstGeom prst="rect">
                      <a:avLst/>
                    </a:prstGeom>
                    <a:ln/>
                  </pic:spPr>
                </pic:pic>
              </a:graphicData>
            </a:graphic>
          </wp:inline>
        </w:drawing>
      </w:r>
    </w:p>
    <w:p w14:paraId="5CB5A4F4" w14:textId="77777777" w:rsidR="000F5BA5" w:rsidRDefault="00000000">
      <w:pPr>
        <w:spacing w:before="240" w:after="240"/>
      </w:pPr>
      <w:r>
        <w:t xml:space="preserve">Individuals and families may be eligible for </w:t>
      </w:r>
      <w:r>
        <w:rPr>
          <w:b/>
          <w:bCs/>
        </w:rPr>
        <w:t>Cost-Sharing Reductions (CSRs)</w:t>
      </w:r>
      <w:r>
        <w:t xml:space="preserve"> on out-of-pocket costs if they meet </w:t>
      </w:r>
      <w:proofErr w:type="gramStart"/>
      <w:r>
        <w:t>all of</w:t>
      </w:r>
      <w:proofErr w:type="gramEnd"/>
      <w:r>
        <w:t xml:space="preserve"> the following criteria:</w:t>
      </w:r>
    </w:p>
    <w:p w14:paraId="3F860BE4" w14:textId="77777777" w:rsidR="000F5BA5" w:rsidRDefault="00000000">
      <w:pPr>
        <w:numPr>
          <w:ilvl w:val="0"/>
          <w:numId w:val="4"/>
        </w:numPr>
        <w:spacing w:before="240"/>
      </w:pPr>
      <w:r>
        <w:t xml:space="preserve">Have an annual household income between </w:t>
      </w:r>
      <w:r>
        <w:rPr>
          <w:b/>
          <w:bCs/>
        </w:rPr>
        <w:t>100% and 250% FPL</w:t>
      </w:r>
      <w:r>
        <w:t>.</w:t>
      </w:r>
    </w:p>
    <w:p w14:paraId="14830F36" w14:textId="77777777" w:rsidR="000F5BA5" w:rsidRDefault="00000000">
      <w:pPr>
        <w:numPr>
          <w:ilvl w:val="0"/>
          <w:numId w:val="4"/>
        </w:numPr>
      </w:pPr>
      <w:r>
        <w:t>Are eligible for a Premium Tax Credit.</w:t>
      </w:r>
    </w:p>
    <w:p w14:paraId="02EB34E1" w14:textId="77777777" w:rsidR="000F5BA5" w:rsidRDefault="00000000">
      <w:pPr>
        <w:numPr>
          <w:ilvl w:val="0"/>
          <w:numId w:val="4"/>
        </w:numPr>
        <w:spacing w:after="240"/>
      </w:pPr>
      <w:r>
        <w:t xml:space="preserve">Enroll in a </w:t>
      </w:r>
      <w:r>
        <w:rPr>
          <w:b/>
          <w:bCs/>
        </w:rPr>
        <w:t>CSR Silver-level plan</w:t>
      </w:r>
      <w:r>
        <w:t xml:space="preserve"> on the Marketplace.</w:t>
      </w:r>
    </w:p>
    <w:p w14:paraId="1458604D" w14:textId="77777777" w:rsidR="000F5BA5" w:rsidRDefault="000F5BA5"/>
    <w:p w14:paraId="1D73252C" w14:textId="77777777" w:rsidR="000F5BA5" w:rsidRDefault="00000000">
      <w:r>
        <w:t xml:space="preserve">Clients are </w:t>
      </w:r>
      <w:r>
        <w:rPr>
          <w:b/>
          <w:bCs/>
        </w:rPr>
        <w:t>not eligible</w:t>
      </w:r>
      <w:r>
        <w:t xml:space="preserve"> for a PTC or a CSR if they are eligible for “minimum essential coverage” outside the Marketplace. </w:t>
      </w:r>
      <w:hyperlink r:id="rId23">
        <w:r>
          <w:rPr>
            <w:color w:val="1155CC"/>
            <w:u w:val="single"/>
          </w:rPr>
          <w:t>Minimum essential coverage</w:t>
        </w:r>
      </w:hyperlink>
      <w:r>
        <w:t xml:space="preserve"> includes most other types of health insurance such as Medicare or Medicaid. It also includes employer-sponsored coverage that is </w:t>
      </w:r>
      <w:r>
        <w:rPr>
          <w:i/>
          <w:iCs/>
        </w:rPr>
        <w:t>affordable</w:t>
      </w:r>
      <w:r>
        <w:t xml:space="preserve"> and provides </w:t>
      </w:r>
      <w:r>
        <w:rPr>
          <w:i/>
          <w:iCs/>
        </w:rPr>
        <w:t>minimum value</w:t>
      </w:r>
      <w:r>
        <w:t xml:space="preserve">. Employers must notify employees if plans meet these two requirements. </w:t>
      </w:r>
    </w:p>
    <w:p w14:paraId="6565C021" w14:textId="77777777" w:rsidR="000F5BA5" w:rsidRDefault="000F5BA5"/>
    <w:p w14:paraId="0B88A635" w14:textId="77777777" w:rsidR="000F5BA5" w:rsidRDefault="00000000">
      <w:r>
        <w:t xml:space="preserve">Employer-sponsored coverage is considered "affordable" if the employee's required contribution for self-only coverage does not exceed </w:t>
      </w:r>
      <w:r>
        <w:rPr>
          <w:b/>
          <w:bCs/>
        </w:rPr>
        <w:t>9.96%</w:t>
      </w:r>
      <w:r>
        <w:t xml:space="preserve"> of household income. Employers must notify employees if plans meet affordability and minimum value requirements.</w:t>
      </w:r>
    </w:p>
    <w:p w14:paraId="145CE82B" w14:textId="77777777" w:rsidR="000F5BA5" w:rsidRDefault="000F5BA5"/>
    <w:p w14:paraId="4B4373D7" w14:textId="77777777" w:rsidR="000F5BA5" w:rsidRDefault="000F5BA5"/>
    <w:p w14:paraId="75BFDE1D" w14:textId="77777777" w:rsidR="000F5BA5" w:rsidRDefault="00000000">
      <w:pPr>
        <w:rPr>
          <w:color w:val="1976D2"/>
        </w:rPr>
      </w:pPr>
      <w:hyperlink r:id="rId24" w:anchor="top">
        <w:r>
          <w:rPr>
            <w:color w:val="1155CC"/>
            <w:u w:val="single"/>
          </w:rPr>
          <w:t>Back to top</w:t>
        </w:r>
      </w:hyperlink>
    </w:p>
    <w:p w14:paraId="5CB8E4A9" w14:textId="77777777" w:rsidR="000F5BA5" w:rsidRDefault="000F5BA5"/>
    <w:p w14:paraId="3C29176A" w14:textId="77777777" w:rsidR="000F5BA5" w:rsidRDefault="00000000">
      <w:pPr>
        <w:pStyle w:val="Heading2"/>
        <w:keepNext w:val="0"/>
        <w:keepLines w:val="0"/>
      </w:pPr>
      <w:bookmarkStart w:id="6" w:name="_heading=h.en00ldccdm4t" w:colFirst="0" w:colLast="0"/>
      <w:bookmarkEnd w:id="6"/>
      <w:r>
        <w:t xml:space="preserve">2. How much financial help is available? </w:t>
      </w:r>
    </w:p>
    <w:p w14:paraId="0F740631" w14:textId="77777777" w:rsidR="000F5BA5" w:rsidRDefault="00000000">
      <w:pPr>
        <w:rPr>
          <w:b/>
          <w:bCs/>
        </w:rPr>
      </w:pPr>
      <w:r>
        <w:rPr>
          <w:b/>
          <w:bCs/>
          <w:noProof/>
        </w:rPr>
        <w:lastRenderedPageBreak/>
        <w:drawing>
          <wp:inline distT="114300" distB="114300" distL="114300" distR="114300" wp14:anchorId="60F352CC" wp14:editId="71BC515F">
            <wp:extent cx="355600" cy="215900"/>
            <wp:effectExtent l="0" t="0" r="0" b="0"/>
            <wp:docPr id="111" name="image5.png" descr="APTC"/>
            <wp:cNvGraphicFramePr/>
            <a:graphic xmlns:a="http://schemas.openxmlformats.org/drawingml/2006/main">
              <a:graphicData uri="http://schemas.openxmlformats.org/drawingml/2006/picture">
                <pic:pic xmlns:pic="http://schemas.openxmlformats.org/drawingml/2006/picture">
                  <pic:nvPicPr>
                    <pic:cNvPr id="0" name="image5.png" descr="APTC"/>
                    <pic:cNvPicPr preferRelativeResize="0"/>
                  </pic:nvPicPr>
                  <pic:blipFill>
                    <a:blip r:embed="rId20"/>
                    <a:srcRect/>
                    <a:stretch>
                      <a:fillRect/>
                    </a:stretch>
                  </pic:blipFill>
                  <pic:spPr>
                    <a:xfrm>
                      <a:off x="0" y="0"/>
                      <a:ext cx="355600" cy="215900"/>
                    </a:xfrm>
                    <a:prstGeom prst="rect">
                      <a:avLst/>
                    </a:prstGeom>
                    <a:ln/>
                  </pic:spPr>
                </pic:pic>
              </a:graphicData>
            </a:graphic>
          </wp:inline>
        </w:drawing>
      </w:r>
    </w:p>
    <w:p w14:paraId="711E409E" w14:textId="77777777" w:rsidR="000F5BA5" w:rsidRDefault="00000000">
      <w:r>
        <w:t>The premium tax credits are administered on a sliding scale based on the client’s household income and size. Those who have a lower income get a larger credit to help cover the cost of their insurance. In other words, the higher your income, the lower the amount of your credit.</w:t>
      </w:r>
    </w:p>
    <w:p w14:paraId="30A1DDCB" w14:textId="77777777" w:rsidR="000F5BA5" w:rsidRDefault="000F5BA5"/>
    <w:p w14:paraId="4CC679E8" w14:textId="77777777" w:rsidR="000F5BA5" w:rsidRDefault="00000000">
      <w:r>
        <w:rPr>
          <w:noProof/>
        </w:rPr>
        <w:drawing>
          <wp:inline distT="114300" distB="114300" distL="114300" distR="114300" wp14:anchorId="608A8D9D" wp14:editId="3E67B3A6">
            <wp:extent cx="355600" cy="215900"/>
            <wp:effectExtent l="0" t="0" r="0" b="0"/>
            <wp:docPr id="114" name="image4.png" descr="CSR"/>
            <wp:cNvGraphicFramePr/>
            <a:graphic xmlns:a="http://schemas.openxmlformats.org/drawingml/2006/main">
              <a:graphicData uri="http://schemas.openxmlformats.org/drawingml/2006/picture">
                <pic:pic xmlns:pic="http://schemas.openxmlformats.org/drawingml/2006/picture">
                  <pic:nvPicPr>
                    <pic:cNvPr id="0" name="image4.png" descr="CSR"/>
                    <pic:cNvPicPr preferRelativeResize="0"/>
                  </pic:nvPicPr>
                  <pic:blipFill>
                    <a:blip r:embed="rId22"/>
                    <a:srcRect/>
                    <a:stretch>
                      <a:fillRect/>
                    </a:stretch>
                  </pic:blipFill>
                  <pic:spPr>
                    <a:xfrm>
                      <a:off x="0" y="0"/>
                      <a:ext cx="355600" cy="215900"/>
                    </a:xfrm>
                    <a:prstGeom prst="rect">
                      <a:avLst/>
                    </a:prstGeom>
                    <a:ln/>
                  </pic:spPr>
                </pic:pic>
              </a:graphicData>
            </a:graphic>
          </wp:inline>
        </w:drawing>
      </w:r>
    </w:p>
    <w:p w14:paraId="753F85DB" w14:textId="77777777" w:rsidR="000F5BA5" w:rsidRDefault="00000000">
      <w:r>
        <w:t>Cost-sharing reductions are based on income and household size. The lower a person’s income, the more they will benefit from a CSR.</w:t>
      </w:r>
    </w:p>
    <w:p w14:paraId="20FF14D4" w14:textId="77777777" w:rsidR="000F5BA5" w:rsidRDefault="000F5BA5"/>
    <w:p w14:paraId="74CEBCA3" w14:textId="77777777" w:rsidR="000F5BA5" w:rsidRDefault="00000000">
      <w:hyperlink r:id="rId25" w:anchor="top">
        <w:r>
          <w:rPr>
            <w:color w:val="1155CC"/>
            <w:u w:val="single"/>
          </w:rPr>
          <w:t>Back to top</w:t>
        </w:r>
      </w:hyperlink>
    </w:p>
    <w:p w14:paraId="3A27BF30" w14:textId="77777777" w:rsidR="000F5BA5" w:rsidRDefault="00000000">
      <w:pPr>
        <w:rPr>
          <w:color w:val="1976D2"/>
        </w:rPr>
      </w:pPr>
      <w:r>
        <w:fldChar w:fldCharType="begin"/>
      </w:r>
      <w:r>
        <w:instrText xml:space="preserve"> HYPERLINK "https://careacttarget.org/#top" </w:instrText>
      </w:r>
      <w:r>
        <w:fldChar w:fldCharType="separate"/>
      </w:r>
    </w:p>
    <w:bookmarkStart w:id="7" w:name="_heading=h.ttgxmo3xlcg6" w:colFirst="0" w:colLast="0"/>
    <w:bookmarkEnd w:id="7"/>
    <w:p w14:paraId="21DE6596" w14:textId="77777777" w:rsidR="000F5BA5" w:rsidRDefault="00000000">
      <w:pPr>
        <w:pStyle w:val="Heading2"/>
        <w:keepNext w:val="0"/>
        <w:keepLines w:val="0"/>
      </w:pPr>
      <w:r>
        <w:fldChar w:fldCharType="end"/>
      </w:r>
      <w:r>
        <w:t>3. What income is considered?</w:t>
      </w:r>
    </w:p>
    <w:p w14:paraId="6BEBFA77" w14:textId="77777777" w:rsidR="000F5BA5" w:rsidRDefault="00000000">
      <w:pPr>
        <w:rPr>
          <w:b/>
          <w:bCs/>
        </w:rPr>
      </w:pPr>
      <w:r>
        <w:rPr>
          <w:b/>
          <w:bCs/>
          <w:noProof/>
        </w:rPr>
        <w:drawing>
          <wp:inline distT="114300" distB="114300" distL="114300" distR="114300" wp14:anchorId="2B63CB8F" wp14:editId="2E850823">
            <wp:extent cx="749300" cy="215900"/>
            <wp:effectExtent l="0" t="0" r="0" b="0"/>
            <wp:docPr id="113" name="image3.png" descr="APTC and CSR"/>
            <wp:cNvGraphicFramePr/>
            <a:graphic xmlns:a="http://schemas.openxmlformats.org/drawingml/2006/main">
              <a:graphicData uri="http://schemas.openxmlformats.org/drawingml/2006/picture">
                <pic:pic xmlns:pic="http://schemas.openxmlformats.org/drawingml/2006/picture">
                  <pic:nvPicPr>
                    <pic:cNvPr id="0" name="image3.png" descr="APTC and CSR"/>
                    <pic:cNvPicPr preferRelativeResize="0"/>
                  </pic:nvPicPr>
                  <pic:blipFill>
                    <a:blip r:embed="rId26"/>
                    <a:srcRect/>
                    <a:stretch>
                      <a:fillRect/>
                    </a:stretch>
                  </pic:blipFill>
                  <pic:spPr>
                    <a:xfrm>
                      <a:off x="0" y="0"/>
                      <a:ext cx="749300" cy="215900"/>
                    </a:xfrm>
                    <a:prstGeom prst="rect">
                      <a:avLst/>
                    </a:prstGeom>
                    <a:ln/>
                  </pic:spPr>
                </pic:pic>
              </a:graphicData>
            </a:graphic>
          </wp:inline>
        </w:drawing>
      </w:r>
    </w:p>
    <w:p w14:paraId="56F4924D" w14:textId="77777777" w:rsidR="000F5BA5" w:rsidRDefault="00000000">
      <w:r>
        <w:t>Both subsidies are determined based on modified adjusted gross income (MAGI). Generally, MAGI is the individual or household’s adjusted gross income, plus any tax-exempt Social Security, interest, or foreign income.</w:t>
      </w:r>
    </w:p>
    <w:p w14:paraId="7F9D838A" w14:textId="77777777" w:rsidR="000F5BA5" w:rsidRDefault="000F5BA5"/>
    <w:p w14:paraId="58CC30BB" w14:textId="77777777" w:rsidR="000F5BA5" w:rsidRDefault="00000000">
      <w:pPr>
        <w:rPr>
          <w:color w:val="1976D2"/>
        </w:rPr>
      </w:pPr>
      <w:hyperlink r:id="rId27" w:anchor="top">
        <w:r>
          <w:rPr>
            <w:color w:val="1155CC"/>
            <w:u w:val="single"/>
          </w:rPr>
          <w:t>Back to top</w:t>
        </w:r>
      </w:hyperlink>
      <w:r>
        <w:fldChar w:fldCharType="begin"/>
      </w:r>
      <w:r>
        <w:instrText xml:space="preserve"> HYPERLINK "https://careacttarget.org/#top" </w:instrText>
      </w:r>
      <w:r>
        <w:fldChar w:fldCharType="separate"/>
      </w:r>
    </w:p>
    <w:p w14:paraId="2C76497B" w14:textId="77777777" w:rsidR="000F5BA5" w:rsidRDefault="00000000">
      <w:r>
        <w:fldChar w:fldCharType="end"/>
      </w:r>
    </w:p>
    <w:p w14:paraId="50EDBB77" w14:textId="77777777" w:rsidR="000F5BA5" w:rsidRDefault="00000000">
      <w:pPr>
        <w:pStyle w:val="Heading2"/>
        <w:keepNext w:val="0"/>
        <w:keepLines w:val="0"/>
      </w:pPr>
      <w:bookmarkStart w:id="8" w:name="_heading=h.55ye7l5mpllb" w:colFirst="0" w:colLast="0"/>
      <w:bookmarkEnd w:id="8"/>
      <w:r>
        <w:t>4. How are PTCs and CSRs given out?</w:t>
      </w:r>
    </w:p>
    <w:p w14:paraId="4B3D9E85" w14:textId="77777777" w:rsidR="000F5BA5" w:rsidRDefault="00000000">
      <w:pPr>
        <w:rPr>
          <w:b/>
          <w:bCs/>
        </w:rPr>
      </w:pPr>
      <w:r>
        <w:rPr>
          <w:b/>
          <w:bCs/>
          <w:noProof/>
        </w:rPr>
        <w:drawing>
          <wp:inline distT="114300" distB="114300" distL="114300" distR="114300" wp14:anchorId="409602BA" wp14:editId="55F37582">
            <wp:extent cx="355600" cy="215900"/>
            <wp:effectExtent l="0" t="0" r="0" b="0"/>
            <wp:docPr id="116" name="image5.png" descr="APTC"/>
            <wp:cNvGraphicFramePr/>
            <a:graphic xmlns:a="http://schemas.openxmlformats.org/drawingml/2006/main">
              <a:graphicData uri="http://schemas.openxmlformats.org/drawingml/2006/picture">
                <pic:pic xmlns:pic="http://schemas.openxmlformats.org/drawingml/2006/picture">
                  <pic:nvPicPr>
                    <pic:cNvPr id="0" name="image5.png" descr="APTC"/>
                    <pic:cNvPicPr preferRelativeResize="0"/>
                  </pic:nvPicPr>
                  <pic:blipFill>
                    <a:blip r:embed="rId20"/>
                    <a:srcRect/>
                    <a:stretch>
                      <a:fillRect/>
                    </a:stretch>
                  </pic:blipFill>
                  <pic:spPr>
                    <a:xfrm>
                      <a:off x="0" y="0"/>
                      <a:ext cx="355600" cy="215900"/>
                    </a:xfrm>
                    <a:prstGeom prst="rect">
                      <a:avLst/>
                    </a:prstGeom>
                    <a:ln/>
                  </pic:spPr>
                </pic:pic>
              </a:graphicData>
            </a:graphic>
          </wp:inline>
        </w:drawing>
      </w:r>
    </w:p>
    <w:p w14:paraId="15F72970" w14:textId="77777777" w:rsidR="000F5BA5" w:rsidRDefault="00000000">
      <w:r>
        <w:t>Individuals eligible for a premium tax credit can choose to:</w:t>
      </w:r>
    </w:p>
    <w:p w14:paraId="45FD6E5A" w14:textId="77777777" w:rsidR="000F5BA5" w:rsidRDefault="000F5BA5">
      <w:pPr>
        <w:rPr>
          <w:b/>
          <w:bCs/>
        </w:rPr>
      </w:pPr>
    </w:p>
    <w:p w14:paraId="267F432C" w14:textId="77777777" w:rsidR="000F5BA5" w:rsidRDefault="00000000">
      <w:r>
        <w:rPr>
          <w:b/>
          <w:bCs/>
        </w:rPr>
        <w:t>Get it now:</w:t>
      </w:r>
      <w:r>
        <w:t xml:space="preserve"> Have some or </w:t>
      </w:r>
      <w:proofErr w:type="gramStart"/>
      <w:r>
        <w:t>all of</w:t>
      </w:r>
      <w:proofErr w:type="gramEnd"/>
      <w:r>
        <w:t xml:space="preserve"> the credit paid in advance directly to the insurer by the Marketplace every month. The person/family then pays less for their monthly premium. This is also known as an “advance payment of the premium tax credit,” or APTC. In most cases, RWHAP clients are required to take the APTC to avoid owing any money to the program. The advantage of APTCs to the client is that they do not have to pay as much out of pocket and then wait for the tax credit to be applied at the time they file taxes.</w:t>
      </w:r>
    </w:p>
    <w:p w14:paraId="7B40A59B" w14:textId="77777777" w:rsidR="000F5BA5" w:rsidRDefault="000F5BA5">
      <w:pPr>
        <w:rPr>
          <w:b/>
          <w:bCs/>
        </w:rPr>
      </w:pPr>
    </w:p>
    <w:p w14:paraId="7A1E151B" w14:textId="77777777" w:rsidR="000F5BA5" w:rsidRDefault="00000000">
      <w:r>
        <w:rPr>
          <w:b/>
          <w:bCs/>
        </w:rPr>
        <w:t>Get it later:</w:t>
      </w:r>
      <w:r>
        <w:t xml:space="preserve"> Wait to get the lump sum credit when they file their federal income tax return at the end of the year. If a person or family decides to receive the PTC later, they will pay their full premium each month.</w:t>
      </w:r>
    </w:p>
    <w:p w14:paraId="6F1C98ED" w14:textId="77777777" w:rsidR="000F5BA5" w:rsidRDefault="000F5BA5"/>
    <w:p w14:paraId="3723C07F" w14:textId="77777777" w:rsidR="000F5BA5" w:rsidRDefault="00000000">
      <w:r>
        <w:rPr>
          <w:noProof/>
        </w:rPr>
        <w:drawing>
          <wp:inline distT="114300" distB="114300" distL="114300" distR="114300" wp14:anchorId="77EFD131" wp14:editId="46394441">
            <wp:extent cx="355600" cy="215900"/>
            <wp:effectExtent l="0" t="0" r="0" b="0"/>
            <wp:docPr id="115" name="image4.png" descr="CSR"/>
            <wp:cNvGraphicFramePr/>
            <a:graphic xmlns:a="http://schemas.openxmlformats.org/drawingml/2006/main">
              <a:graphicData uri="http://schemas.openxmlformats.org/drawingml/2006/picture">
                <pic:pic xmlns:pic="http://schemas.openxmlformats.org/drawingml/2006/picture">
                  <pic:nvPicPr>
                    <pic:cNvPr id="0" name="image4.png" descr="CSR"/>
                    <pic:cNvPicPr preferRelativeResize="0"/>
                  </pic:nvPicPr>
                  <pic:blipFill>
                    <a:blip r:embed="rId22"/>
                    <a:srcRect/>
                    <a:stretch>
                      <a:fillRect/>
                    </a:stretch>
                  </pic:blipFill>
                  <pic:spPr>
                    <a:xfrm>
                      <a:off x="0" y="0"/>
                      <a:ext cx="355600" cy="215900"/>
                    </a:xfrm>
                    <a:prstGeom prst="rect">
                      <a:avLst/>
                    </a:prstGeom>
                    <a:ln/>
                  </pic:spPr>
                </pic:pic>
              </a:graphicData>
            </a:graphic>
          </wp:inline>
        </w:drawing>
      </w:r>
    </w:p>
    <w:p w14:paraId="719CA079" w14:textId="77777777" w:rsidR="000F5BA5" w:rsidRDefault="00000000">
      <w:r>
        <w:t>The CSR is applied all year long, reducing the cost of deductibles, copayments, and coinsurance and lowering the out-of-pocket maximum for the year. Clients cannot get the CSR in a lump sum at the end of the year.</w:t>
      </w:r>
    </w:p>
    <w:p w14:paraId="20C54815" w14:textId="77777777" w:rsidR="000F5BA5" w:rsidRDefault="000F5BA5"/>
    <w:p w14:paraId="4B6B0680" w14:textId="77777777" w:rsidR="000F5BA5" w:rsidRDefault="00000000">
      <w:hyperlink r:id="rId28" w:anchor="top">
        <w:r>
          <w:rPr>
            <w:color w:val="1155CC"/>
            <w:u w:val="single"/>
          </w:rPr>
          <w:t>Back to top</w:t>
        </w:r>
      </w:hyperlink>
    </w:p>
    <w:p w14:paraId="63E5312B" w14:textId="77777777" w:rsidR="000F5BA5" w:rsidRDefault="00000000">
      <w:pPr>
        <w:rPr>
          <w:color w:val="1976D2"/>
        </w:rPr>
      </w:pPr>
      <w:r>
        <w:fldChar w:fldCharType="begin"/>
      </w:r>
      <w:r>
        <w:instrText xml:space="preserve"> HYPERLINK "https://careacttarget.org/#top" </w:instrText>
      </w:r>
      <w:r>
        <w:fldChar w:fldCharType="separate"/>
      </w:r>
    </w:p>
    <w:bookmarkStart w:id="9" w:name="_heading=h.kve8fv4jdh37" w:colFirst="0" w:colLast="0"/>
    <w:bookmarkEnd w:id="9"/>
    <w:p w14:paraId="6A9C2233" w14:textId="77777777" w:rsidR="000F5BA5" w:rsidRDefault="00000000">
      <w:pPr>
        <w:pStyle w:val="Heading2"/>
        <w:keepNext w:val="0"/>
        <w:keepLines w:val="0"/>
      </w:pPr>
      <w:r>
        <w:fldChar w:fldCharType="end"/>
      </w:r>
      <w:r>
        <w:t>5. Do clients need to file a federal tax return?</w:t>
      </w:r>
    </w:p>
    <w:p w14:paraId="02D8E7BB" w14:textId="77777777" w:rsidR="000F5BA5" w:rsidRDefault="00000000">
      <w:r>
        <w:rPr>
          <w:b/>
          <w:bCs/>
          <w:noProof/>
        </w:rPr>
        <w:drawing>
          <wp:inline distT="114300" distB="114300" distL="114300" distR="114300" wp14:anchorId="1DFC4A68" wp14:editId="72BF349F">
            <wp:extent cx="352425" cy="209550"/>
            <wp:effectExtent l="0" t="0" r="0" b="0"/>
            <wp:docPr id="118" name="image5.png" descr="APTC"/>
            <wp:cNvGraphicFramePr/>
            <a:graphic xmlns:a="http://schemas.openxmlformats.org/drawingml/2006/main">
              <a:graphicData uri="http://schemas.openxmlformats.org/drawingml/2006/picture">
                <pic:pic xmlns:pic="http://schemas.openxmlformats.org/drawingml/2006/picture">
                  <pic:nvPicPr>
                    <pic:cNvPr id="0" name="image5.png" descr="APTC"/>
                    <pic:cNvPicPr preferRelativeResize="0"/>
                  </pic:nvPicPr>
                  <pic:blipFill>
                    <a:blip r:embed="rId20"/>
                    <a:srcRect/>
                    <a:stretch>
                      <a:fillRect/>
                    </a:stretch>
                  </pic:blipFill>
                  <pic:spPr>
                    <a:xfrm>
                      <a:off x="0" y="0"/>
                      <a:ext cx="352425" cy="209550"/>
                    </a:xfrm>
                    <a:prstGeom prst="rect">
                      <a:avLst/>
                    </a:prstGeom>
                    <a:ln/>
                  </pic:spPr>
                </pic:pic>
              </a:graphicData>
            </a:graphic>
          </wp:inline>
        </w:drawing>
      </w:r>
    </w:p>
    <w:p w14:paraId="563EA54F" w14:textId="77777777" w:rsidR="000F5BA5" w:rsidRDefault="00000000">
      <w:r>
        <w:t>Clients must file a federal income tax return after the end of the year regardless of whether they received the premium tax credit in advance or plan to claim it as a lump sum. The client will then use the return to reconcile the difference between the APTC payments and the actual amount of the credit that the client is eligible for at the end of the year.</w:t>
      </w:r>
    </w:p>
    <w:p w14:paraId="3C58A044" w14:textId="77777777" w:rsidR="000F5BA5" w:rsidRDefault="000F5BA5"/>
    <w:p w14:paraId="2F093602" w14:textId="77777777" w:rsidR="000F5BA5" w:rsidRDefault="00000000">
      <w:r>
        <w:t>Individuals who receive APTCs should file a federal tax return because failure to file and reconcile federal income taxes will result in ineligibility for future APTCs. Gathering the required documents, filling out the appropriate paperwork, and filing taxes on time helps ensure that coverage remains accessible and affordable, year after year.</w:t>
      </w:r>
    </w:p>
    <w:p w14:paraId="0F69B462" w14:textId="77777777" w:rsidR="000F5BA5" w:rsidRDefault="000F5BA5"/>
    <w:p w14:paraId="6539DC48" w14:textId="77777777" w:rsidR="000F5BA5" w:rsidRDefault="00000000">
      <w:r>
        <w:t xml:space="preserve">Eligibility for individuals who receive PTCs for the first time will be </w:t>
      </w:r>
      <w:proofErr w:type="gramStart"/>
      <w:r>
        <w:t>determined</w:t>
      </w:r>
      <w:proofErr w:type="gramEnd"/>
      <w:r>
        <w:t xml:space="preserve"> using the financial information in their Marketplace application. For later years, financial eligibility will be determined using the most recent available tax return.</w:t>
      </w:r>
    </w:p>
    <w:p w14:paraId="77C49756" w14:textId="77777777" w:rsidR="000F5BA5" w:rsidRDefault="000F5BA5"/>
    <w:p w14:paraId="4BEEAEA2" w14:textId="77777777" w:rsidR="000F5BA5" w:rsidRDefault="00000000">
      <w:r>
        <w:lastRenderedPageBreak/>
        <w:t xml:space="preserve">If married, the client must file a joint tax return with their spouse unless the client is a victim of </w:t>
      </w:r>
      <w:hyperlink r:id="rId29">
        <w:r>
          <w:rPr>
            <w:color w:val="1976D2"/>
          </w:rPr>
          <w:t>domestic abuse or spousal abandonment.</w:t>
        </w:r>
      </w:hyperlink>
      <w:r>
        <w:t xml:space="preserve"> The applicant cannot be claimed as a dependent on someone else’s tax return.</w:t>
      </w:r>
    </w:p>
    <w:p w14:paraId="1EAE6860" w14:textId="77777777" w:rsidR="000F5BA5" w:rsidRDefault="000F5BA5"/>
    <w:p w14:paraId="23E6F774" w14:textId="77777777" w:rsidR="000F5BA5" w:rsidRDefault="00000000">
      <w:r>
        <w:rPr>
          <w:noProof/>
        </w:rPr>
        <w:drawing>
          <wp:inline distT="114300" distB="114300" distL="114300" distR="114300" wp14:anchorId="2C52A47C" wp14:editId="797CF219">
            <wp:extent cx="355600" cy="215900"/>
            <wp:effectExtent l="0" t="0" r="0" b="0"/>
            <wp:docPr id="117" name="image4.png" descr="CSR"/>
            <wp:cNvGraphicFramePr/>
            <a:graphic xmlns:a="http://schemas.openxmlformats.org/drawingml/2006/main">
              <a:graphicData uri="http://schemas.openxmlformats.org/drawingml/2006/picture">
                <pic:pic xmlns:pic="http://schemas.openxmlformats.org/drawingml/2006/picture">
                  <pic:nvPicPr>
                    <pic:cNvPr id="0" name="image4.png" descr="CSR"/>
                    <pic:cNvPicPr preferRelativeResize="0"/>
                  </pic:nvPicPr>
                  <pic:blipFill>
                    <a:blip r:embed="rId22"/>
                    <a:srcRect/>
                    <a:stretch>
                      <a:fillRect/>
                    </a:stretch>
                  </pic:blipFill>
                  <pic:spPr>
                    <a:xfrm>
                      <a:off x="0" y="0"/>
                      <a:ext cx="355600" cy="215900"/>
                    </a:xfrm>
                    <a:prstGeom prst="rect">
                      <a:avLst/>
                    </a:prstGeom>
                    <a:ln/>
                  </pic:spPr>
                </pic:pic>
              </a:graphicData>
            </a:graphic>
          </wp:inline>
        </w:drawing>
      </w:r>
    </w:p>
    <w:p w14:paraId="6EAFE90A" w14:textId="77777777" w:rsidR="000F5BA5" w:rsidRDefault="00000000">
      <w:r>
        <w:t xml:space="preserve">There is no relationship between the CSR and filing taxes. This means that when an individual files taxes at the end of the year, there is no reconciliation process for the CSR.  </w:t>
      </w:r>
    </w:p>
    <w:p w14:paraId="6D8C24E8" w14:textId="77777777" w:rsidR="000F5BA5" w:rsidRDefault="000F5BA5"/>
    <w:p w14:paraId="3470D749" w14:textId="77777777" w:rsidR="000F5BA5" w:rsidRDefault="00000000">
      <w:pPr>
        <w:rPr>
          <w:color w:val="1976D2"/>
        </w:rPr>
      </w:pPr>
      <w:hyperlink r:id="rId30" w:anchor="top">
        <w:r>
          <w:rPr>
            <w:color w:val="1155CC"/>
            <w:u w:val="single"/>
          </w:rPr>
          <w:t>Back to top</w:t>
        </w:r>
      </w:hyperlink>
      <w:r>
        <w:fldChar w:fldCharType="begin"/>
      </w:r>
      <w:r>
        <w:instrText xml:space="preserve"> HYPERLINK "https://careacttarget.org/#top" </w:instrText>
      </w:r>
      <w:r>
        <w:fldChar w:fldCharType="separate"/>
      </w:r>
    </w:p>
    <w:p w14:paraId="67FFE0DC" w14:textId="77777777" w:rsidR="000F5BA5" w:rsidRDefault="00000000">
      <w:r>
        <w:fldChar w:fldCharType="end"/>
      </w:r>
    </w:p>
    <w:p w14:paraId="5E6253DA" w14:textId="77777777" w:rsidR="000F5BA5" w:rsidRDefault="00000000">
      <w:pPr>
        <w:pStyle w:val="Heading2"/>
        <w:keepNext w:val="0"/>
        <w:keepLines w:val="0"/>
      </w:pPr>
      <w:bookmarkStart w:id="10" w:name="_heading=h.1svppktpxjzt" w:colFirst="0" w:colLast="0"/>
      <w:bookmarkEnd w:id="10"/>
      <w:r>
        <w:t>6. How do clients apply for a PTC or CSR?</w:t>
      </w:r>
    </w:p>
    <w:p w14:paraId="7D37BCAA" w14:textId="77777777" w:rsidR="000F5BA5" w:rsidRDefault="00000000">
      <w:pPr>
        <w:rPr>
          <w:b/>
          <w:bCs/>
        </w:rPr>
      </w:pPr>
      <w:r>
        <w:rPr>
          <w:b/>
          <w:bCs/>
          <w:noProof/>
        </w:rPr>
        <w:drawing>
          <wp:inline distT="114300" distB="114300" distL="114300" distR="114300" wp14:anchorId="4960AD1B" wp14:editId="1CDDC0C0">
            <wp:extent cx="355600" cy="215900"/>
            <wp:effectExtent l="0" t="0" r="0" b="0"/>
            <wp:docPr id="121" name="image5.png" descr="APTC"/>
            <wp:cNvGraphicFramePr/>
            <a:graphic xmlns:a="http://schemas.openxmlformats.org/drawingml/2006/main">
              <a:graphicData uri="http://schemas.openxmlformats.org/drawingml/2006/picture">
                <pic:pic xmlns:pic="http://schemas.openxmlformats.org/drawingml/2006/picture">
                  <pic:nvPicPr>
                    <pic:cNvPr id="0" name="image5.png" descr="APTC"/>
                    <pic:cNvPicPr preferRelativeResize="0"/>
                  </pic:nvPicPr>
                  <pic:blipFill>
                    <a:blip r:embed="rId20"/>
                    <a:srcRect/>
                    <a:stretch>
                      <a:fillRect/>
                    </a:stretch>
                  </pic:blipFill>
                  <pic:spPr>
                    <a:xfrm>
                      <a:off x="0" y="0"/>
                      <a:ext cx="355600" cy="215900"/>
                    </a:xfrm>
                    <a:prstGeom prst="rect">
                      <a:avLst/>
                    </a:prstGeom>
                    <a:ln/>
                  </pic:spPr>
                </pic:pic>
              </a:graphicData>
            </a:graphic>
          </wp:inline>
        </w:drawing>
      </w:r>
    </w:p>
    <w:p w14:paraId="5E4DCA3B" w14:textId="77777777" w:rsidR="000F5BA5" w:rsidRDefault="00000000">
      <w:r>
        <w:t>Clients must apply for APTCs through the Marketplace as part of the online application. This is called “eligibility determination.” The client must authorize collection of tax data from the IRS during the application process so that the Marketplace can determine their eligibility.</w:t>
      </w:r>
    </w:p>
    <w:p w14:paraId="695418AA" w14:textId="77777777" w:rsidR="000F5BA5" w:rsidRDefault="000F5BA5"/>
    <w:p w14:paraId="5A432CCA" w14:textId="77777777" w:rsidR="000F5BA5" w:rsidRDefault="00000000">
      <w:r>
        <w:t xml:space="preserve">Even if a client is renewing Marketplace coverage, they should update household and income information in the Marketplace every year to be sure they receive the correct amount of APTC. If they do not update their information, they might get too much APTC and </w:t>
      </w:r>
      <w:proofErr w:type="gramStart"/>
      <w:r>
        <w:t>have to</w:t>
      </w:r>
      <w:proofErr w:type="gramEnd"/>
      <w:r>
        <w:t xml:space="preserve"> pay it back at the end of the year, or they might get too little APTC which might make it difficult to afford their monthly premium costs. </w:t>
      </w:r>
    </w:p>
    <w:p w14:paraId="5E1A24F6" w14:textId="77777777" w:rsidR="000F5BA5" w:rsidRDefault="000F5BA5"/>
    <w:p w14:paraId="2C08DA91" w14:textId="77777777" w:rsidR="000F5BA5" w:rsidRDefault="00000000">
      <w:r>
        <w:rPr>
          <w:noProof/>
        </w:rPr>
        <w:drawing>
          <wp:inline distT="114300" distB="114300" distL="114300" distR="114300" wp14:anchorId="0238345C" wp14:editId="413D6026">
            <wp:extent cx="355600" cy="215900"/>
            <wp:effectExtent l="0" t="0" r="0" b="0"/>
            <wp:docPr id="119" name="image4.png" descr="CSR"/>
            <wp:cNvGraphicFramePr/>
            <a:graphic xmlns:a="http://schemas.openxmlformats.org/drawingml/2006/main">
              <a:graphicData uri="http://schemas.openxmlformats.org/drawingml/2006/picture">
                <pic:pic xmlns:pic="http://schemas.openxmlformats.org/drawingml/2006/picture">
                  <pic:nvPicPr>
                    <pic:cNvPr id="0" name="image4.png" descr="CSR"/>
                    <pic:cNvPicPr preferRelativeResize="0"/>
                  </pic:nvPicPr>
                  <pic:blipFill>
                    <a:blip r:embed="rId22"/>
                    <a:srcRect/>
                    <a:stretch>
                      <a:fillRect/>
                    </a:stretch>
                  </pic:blipFill>
                  <pic:spPr>
                    <a:xfrm>
                      <a:off x="0" y="0"/>
                      <a:ext cx="355600" cy="215900"/>
                    </a:xfrm>
                    <a:prstGeom prst="rect">
                      <a:avLst/>
                    </a:prstGeom>
                    <a:ln/>
                  </pic:spPr>
                </pic:pic>
              </a:graphicData>
            </a:graphic>
          </wp:inline>
        </w:drawing>
      </w:r>
    </w:p>
    <w:p w14:paraId="6AB5C769" w14:textId="77777777" w:rsidR="000F5BA5" w:rsidRDefault="00000000">
      <w:r>
        <w:t>CSRs do not have a separate application process. Clients who apply for a PTC through the Marketplace are automatically assessed for CSR eligibility.</w:t>
      </w:r>
    </w:p>
    <w:p w14:paraId="5AB00612" w14:textId="77777777" w:rsidR="000F5BA5" w:rsidRDefault="000F5BA5"/>
    <w:p w14:paraId="2DE5D534" w14:textId="77777777" w:rsidR="000F5BA5" w:rsidRDefault="00000000">
      <w:hyperlink r:id="rId31" w:anchor="top">
        <w:r>
          <w:rPr>
            <w:color w:val="1155CC"/>
            <w:u w:val="single"/>
          </w:rPr>
          <w:t>Back to top</w:t>
        </w:r>
      </w:hyperlink>
    </w:p>
    <w:p w14:paraId="6530FE9C" w14:textId="77777777" w:rsidR="000F5BA5" w:rsidRDefault="000F5BA5"/>
    <w:p w14:paraId="23A494E5" w14:textId="77777777" w:rsidR="000F5BA5" w:rsidRDefault="00000000">
      <w:pPr>
        <w:pStyle w:val="Heading2"/>
        <w:keepNext w:val="0"/>
        <w:keepLines w:val="0"/>
      </w:pPr>
      <w:bookmarkStart w:id="11" w:name="_heading=h.29y22y5qr888" w:colFirst="0" w:colLast="0"/>
      <w:bookmarkEnd w:id="11"/>
      <w:r>
        <w:t>7. Can a PTC or CSR be used for any Qualified Health Plan on the Marketplace?</w:t>
      </w:r>
    </w:p>
    <w:p w14:paraId="7BF0D015" w14:textId="77777777" w:rsidR="000F5BA5" w:rsidRDefault="00000000">
      <w:pPr>
        <w:rPr>
          <w:b/>
          <w:bCs/>
        </w:rPr>
      </w:pPr>
      <w:r>
        <w:rPr>
          <w:b/>
          <w:bCs/>
          <w:noProof/>
        </w:rPr>
        <w:lastRenderedPageBreak/>
        <w:drawing>
          <wp:inline distT="114300" distB="114300" distL="114300" distR="114300" wp14:anchorId="6A9E6A85" wp14:editId="5A69638E">
            <wp:extent cx="355600" cy="215900"/>
            <wp:effectExtent l="0" t="0" r="0" b="0"/>
            <wp:docPr id="120" name="image5.png" descr="APTC"/>
            <wp:cNvGraphicFramePr/>
            <a:graphic xmlns:a="http://schemas.openxmlformats.org/drawingml/2006/main">
              <a:graphicData uri="http://schemas.openxmlformats.org/drawingml/2006/picture">
                <pic:pic xmlns:pic="http://schemas.openxmlformats.org/drawingml/2006/picture">
                  <pic:nvPicPr>
                    <pic:cNvPr id="0" name="image5.png" descr="APTC"/>
                    <pic:cNvPicPr preferRelativeResize="0"/>
                  </pic:nvPicPr>
                  <pic:blipFill>
                    <a:blip r:embed="rId20"/>
                    <a:srcRect/>
                    <a:stretch>
                      <a:fillRect/>
                    </a:stretch>
                  </pic:blipFill>
                  <pic:spPr>
                    <a:xfrm>
                      <a:off x="0" y="0"/>
                      <a:ext cx="355600" cy="215900"/>
                    </a:xfrm>
                    <a:prstGeom prst="rect">
                      <a:avLst/>
                    </a:prstGeom>
                    <a:ln/>
                  </pic:spPr>
                </pic:pic>
              </a:graphicData>
            </a:graphic>
          </wp:inline>
        </w:drawing>
      </w:r>
    </w:p>
    <w:p w14:paraId="606BACFD" w14:textId="77777777" w:rsidR="000F5BA5" w:rsidRDefault="00000000">
      <w:r>
        <w:t>PTCs can be used for any metal-level plan (Platinum, Gold, Silver, or Bronze). The amount of the PTC is based on the cost of the Silver-level plan, but it can be applied to any plan, except catastrophic plans.</w:t>
      </w:r>
    </w:p>
    <w:p w14:paraId="1DD84D63" w14:textId="77777777" w:rsidR="000F5BA5" w:rsidRDefault="000F5BA5"/>
    <w:p w14:paraId="0E1DA2E3" w14:textId="77777777" w:rsidR="000F5BA5" w:rsidRDefault="00000000">
      <w:r>
        <w:rPr>
          <w:noProof/>
        </w:rPr>
        <w:drawing>
          <wp:inline distT="114300" distB="114300" distL="114300" distR="114300" wp14:anchorId="181D265D" wp14:editId="31558737">
            <wp:extent cx="355600" cy="215900"/>
            <wp:effectExtent l="0" t="0" r="0" b="0"/>
            <wp:docPr id="122" name="image4.png" descr="CSR"/>
            <wp:cNvGraphicFramePr/>
            <a:graphic xmlns:a="http://schemas.openxmlformats.org/drawingml/2006/main">
              <a:graphicData uri="http://schemas.openxmlformats.org/drawingml/2006/picture">
                <pic:pic xmlns:pic="http://schemas.openxmlformats.org/drawingml/2006/picture">
                  <pic:nvPicPr>
                    <pic:cNvPr id="0" name="image4.png" descr="CSR"/>
                    <pic:cNvPicPr preferRelativeResize="0"/>
                  </pic:nvPicPr>
                  <pic:blipFill>
                    <a:blip r:embed="rId22"/>
                    <a:srcRect/>
                    <a:stretch>
                      <a:fillRect/>
                    </a:stretch>
                  </pic:blipFill>
                  <pic:spPr>
                    <a:xfrm>
                      <a:off x="0" y="0"/>
                      <a:ext cx="355600" cy="215900"/>
                    </a:xfrm>
                    <a:prstGeom prst="rect">
                      <a:avLst/>
                    </a:prstGeom>
                    <a:ln/>
                  </pic:spPr>
                </pic:pic>
              </a:graphicData>
            </a:graphic>
          </wp:inline>
        </w:drawing>
      </w:r>
      <w:r>
        <w:t xml:space="preserve"> CSRs are only available for Silver-level plans.</w:t>
      </w:r>
    </w:p>
    <w:p w14:paraId="21FEA2BA" w14:textId="77777777" w:rsidR="000F5BA5" w:rsidRDefault="000F5BA5"/>
    <w:p w14:paraId="40B57F41" w14:textId="77777777" w:rsidR="000F5BA5" w:rsidRDefault="00000000">
      <w:hyperlink r:id="rId32" w:anchor="top">
        <w:r>
          <w:rPr>
            <w:color w:val="1155CC"/>
            <w:u w:val="single"/>
          </w:rPr>
          <w:t>Back to top</w:t>
        </w:r>
      </w:hyperlink>
    </w:p>
    <w:p w14:paraId="0DDFB79C" w14:textId="77777777" w:rsidR="000F5BA5" w:rsidRDefault="000F5BA5"/>
    <w:p w14:paraId="5A938ABA" w14:textId="77777777" w:rsidR="000F5BA5" w:rsidRDefault="00000000">
      <w:pPr>
        <w:pStyle w:val="Heading2"/>
        <w:keepNext w:val="0"/>
        <w:keepLines w:val="0"/>
      </w:pPr>
      <w:bookmarkStart w:id="12" w:name="_heading=h.jpfi32tf8fj6" w:colFirst="0" w:colLast="0"/>
      <w:bookmarkEnd w:id="12"/>
      <w:r>
        <w:t>8. Will clients still have to pay for coverage?</w:t>
      </w:r>
    </w:p>
    <w:p w14:paraId="693DDE1B" w14:textId="77777777" w:rsidR="000F5BA5" w:rsidRDefault="00000000">
      <w:r>
        <w:rPr>
          <w:noProof/>
        </w:rPr>
        <w:drawing>
          <wp:inline distT="114300" distB="114300" distL="114300" distR="114300" wp14:anchorId="3931231F" wp14:editId="2D1D2372">
            <wp:extent cx="749300" cy="215900"/>
            <wp:effectExtent l="0" t="0" r="0" b="0"/>
            <wp:docPr id="123" name="image3.png" descr="APTC and CSR"/>
            <wp:cNvGraphicFramePr/>
            <a:graphic xmlns:a="http://schemas.openxmlformats.org/drawingml/2006/main">
              <a:graphicData uri="http://schemas.openxmlformats.org/drawingml/2006/picture">
                <pic:pic xmlns:pic="http://schemas.openxmlformats.org/drawingml/2006/picture">
                  <pic:nvPicPr>
                    <pic:cNvPr id="0" name="image3.png" descr="APTC and CSR"/>
                    <pic:cNvPicPr preferRelativeResize="0"/>
                  </pic:nvPicPr>
                  <pic:blipFill>
                    <a:blip r:embed="rId26"/>
                    <a:srcRect/>
                    <a:stretch>
                      <a:fillRect/>
                    </a:stretch>
                  </pic:blipFill>
                  <pic:spPr>
                    <a:xfrm>
                      <a:off x="0" y="0"/>
                      <a:ext cx="749300" cy="215900"/>
                    </a:xfrm>
                    <a:prstGeom prst="rect">
                      <a:avLst/>
                    </a:prstGeom>
                    <a:ln/>
                  </pic:spPr>
                </pic:pic>
              </a:graphicData>
            </a:graphic>
          </wp:inline>
        </w:drawing>
      </w:r>
    </w:p>
    <w:p w14:paraId="057E982A" w14:textId="77777777" w:rsidR="000F5BA5" w:rsidRDefault="00000000">
      <w:r>
        <w:rPr>
          <w:color w:val="3C4043"/>
          <w:highlight w:val="white"/>
        </w:rPr>
        <w:t>Even if they receive both PTCs and CSRs, a client may still have health insurance expenses they will be responsible for, such as premiums, deductibles, co-insurance and copays</w:t>
      </w:r>
      <w:r>
        <w:t>.</w:t>
      </w:r>
    </w:p>
    <w:p w14:paraId="64A03B61" w14:textId="77777777" w:rsidR="000F5BA5" w:rsidRDefault="000F5BA5"/>
    <w:p w14:paraId="7212D3F3" w14:textId="77777777" w:rsidR="000F5BA5" w:rsidRDefault="00000000">
      <w:proofErr w:type="gramStart"/>
      <w:r>
        <w:t>The RWHAP</w:t>
      </w:r>
      <w:proofErr w:type="gramEnd"/>
      <w:r>
        <w:t xml:space="preserve"> can help eligible consumers pay for health insurance premiums and out-of-pocket expenses. Check with </w:t>
      </w:r>
      <w:hyperlink r:id="rId33">
        <w:r>
          <w:rPr>
            <w:color w:val="1155CC"/>
            <w:u w:val="single"/>
          </w:rPr>
          <w:t>RWHAP recipients in your state, including ADAP</w:t>
        </w:r>
      </w:hyperlink>
      <w:r>
        <w:t>, to see what financial assistance is available and as you help clients compare plan costs, make sure they understand all costs associated with their health insurance plan.</w:t>
      </w:r>
    </w:p>
    <w:p w14:paraId="5759F7B4" w14:textId="77777777" w:rsidR="000F5BA5" w:rsidRDefault="000F5BA5"/>
    <w:p w14:paraId="318099EB" w14:textId="77777777" w:rsidR="000F5BA5" w:rsidRDefault="00000000">
      <w:pPr>
        <w:rPr>
          <w:color w:val="1976D2"/>
        </w:rPr>
      </w:pPr>
      <w:hyperlink r:id="rId34" w:anchor="top">
        <w:r>
          <w:rPr>
            <w:color w:val="1155CC"/>
            <w:u w:val="single"/>
          </w:rPr>
          <w:t>Back to top</w:t>
        </w:r>
      </w:hyperlink>
      <w:r>
        <w:fldChar w:fldCharType="begin"/>
      </w:r>
      <w:r>
        <w:instrText xml:space="preserve"> HYPERLINK "https://careacttarget.org/#top" </w:instrText>
      </w:r>
      <w:r>
        <w:fldChar w:fldCharType="separate"/>
      </w:r>
    </w:p>
    <w:p w14:paraId="2D9DAAEF" w14:textId="77777777" w:rsidR="000F5BA5" w:rsidRDefault="00000000">
      <w:r>
        <w:fldChar w:fldCharType="end"/>
      </w:r>
    </w:p>
    <w:p w14:paraId="14B34F25" w14:textId="77777777" w:rsidR="000F5BA5" w:rsidRDefault="00000000">
      <w:pPr>
        <w:pStyle w:val="Heading2"/>
        <w:keepNext w:val="0"/>
        <w:keepLines w:val="0"/>
      </w:pPr>
      <w:bookmarkStart w:id="13" w:name="_heading=h.h520mrs0hr2m" w:colFirst="0" w:colLast="0"/>
      <w:bookmarkEnd w:id="13"/>
      <w:r>
        <w:t xml:space="preserve">9. Can ADAPs help if the cost of care with </w:t>
      </w:r>
      <w:proofErr w:type="gramStart"/>
      <w:r>
        <w:t>a PTC</w:t>
      </w:r>
      <w:proofErr w:type="gramEnd"/>
      <w:r>
        <w:t xml:space="preserve"> and CSR is still unaffordable?</w:t>
      </w:r>
    </w:p>
    <w:p w14:paraId="3DEFFA62" w14:textId="77777777" w:rsidR="000F5BA5" w:rsidRDefault="000F5BA5"/>
    <w:p w14:paraId="3A65676E" w14:textId="77777777" w:rsidR="000F5BA5" w:rsidRDefault="00000000">
      <w:r>
        <w:t xml:space="preserve">RWHAP funds may be used to cover any remaining portion of the client’s premium or out-of-pocket costs (i.e., copayments, deductibles, coinsurance). This additional assistance is available in many jurisdictions, and you should </w:t>
      </w:r>
      <w:hyperlink r:id="rId35">
        <w:r>
          <w:rPr>
            <w:color w:val="1155CC"/>
            <w:u w:val="single"/>
          </w:rPr>
          <w:t>contact the RWHAP recipient, including ADAP</w:t>
        </w:r>
      </w:hyperlink>
      <w:r>
        <w:t xml:space="preserve">, in your state to learn more. For more information about the use of RWHAP funds for premium and cost-sharing assistance for the purchase and maintenance of private health insurance, Medicaid, and Medicare coverage, see HRSA/HAB </w:t>
      </w:r>
      <w:hyperlink r:id="rId36">
        <w:r>
          <w:rPr>
            <w:color w:val="1155CC"/>
            <w:u w:val="single"/>
          </w:rPr>
          <w:t>Policy Clarification Notice (</w:t>
        </w:r>
        <w:proofErr w:type="gramStart"/>
        <w:r>
          <w:rPr>
            <w:color w:val="1155CC"/>
            <w:u w:val="single"/>
          </w:rPr>
          <w:t>PCN) #</w:t>
        </w:r>
        <w:proofErr w:type="gramEnd"/>
        <w:r>
          <w:rPr>
            <w:color w:val="1155CC"/>
            <w:u w:val="single"/>
          </w:rPr>
          <w:t>18-01</w:t>
        </w:r>
      </w:hyperlink>
      <w:r>
        <w:t xml:space="preserve">. For </w:t>
      </w:r>
      <w:r>
        <w:lastRenderedPageBreak/>
        <w:t xml:space="preserve">more information about the use of RWHAP funds to purchase health insurance for clients in the Marketplace and the reconciliation of </w:t>
      </w:r>
      <w:proofErr w:type="gramStart"/>
      <w:r>
        <w:t>advance</w:t>
      </w:r>
      <w:proofErr w:type="gramEnd"/>
      <w:r>
        <w:t xml:space="preserve"> premium tax credits, see HRSA/HAB </w:t>
      </w:r>
      <w:hyperlink r:id="rId37">
        <w:r>
          <w:rPr>
            <w:color w:val="1155CC"/>
            <w:u w:val="single"/>
          </w:rPr>
          <w:t>Policy Clarification Notice (</w:t>
        </w:r>
        <w:proofErr w:type="gramStart"/>
        <w:r>
          <w:rPr>
            <w:color w:val="1155CC"/>
            <w:u w:val="single"/>
          </w:rPr>
          <w:t>PCN) #</w:t>
        </w:r>
        <w:proofErr w:type="gramEnd"/>
        <w:r>
          <w:rPr>
            <w:color w:val="1155CC"/>
            <w:u w:val="single"/>
          </w:rPr>
          <w:t>14-01</w:t>
        </w:r>
      </w:hyperlink>
      <w:r>
        <w:t xml:space="preserve">. </w:t>
      </w:r>
    </w:p>
    <w:p w14:paraId="5F3DBB07" w14:textId="77777777" w:rsidR="000F5BA5" w:rsidRDefault="000F5BA5"/>
    <w:p w14:paraId="5E3CF41A" w14:textId="77777777" w:rsidR="000F5BA5" w:rsidRDefault="00000000">
      <w:pPr>
        <w:rPr>
          <w:color w:val="1976D2"/>
        </w:rPr>
      </w:pPr>
      <w:hyperlink r:id="rId38" w:anchor="top">
        <w:r>
          <w:rPr>
            <w:color w:val="1155CC"/>
            <w:u w:val="single"/>
          </w:rPr>
          <w:t>Back to top</w:t>
        </w:r>
      </w:hyperlink>
      <w:r>
        <w:fldChar w:fldCharType="begin"/>
      </w:r>
      <w:r>
        <w:instrText xml:space="preserve"> HYPERLINK "https://careacttarget.org/#top" </w:instrText>
      </w:r>
      <w:r>
        <w:fldChar w:fldCharType="separate"/>
      </w:r>
    </w:p>
    <w:p w14:paraId="636D6D3F" w14:textId="77777777" w:rsidR="000F5BA5" w:rsidRDefault="00000000">
      <w:r>
        <w:fldChar w:fldCharType="end"/>
      </w:r>
    </w:p>
    <w:p w14:paraId="780507FD" w14:textId="77777777" w:rsidR="000F5BA5" w:rsidRDefault="00000000">
      <w:pPr>
        <w:pStyle w:val="Heading2"/>
        <w:keepNext w:val="0"/>
        <w:keepLines w:val="0"/>
      </w:pPr>
      <w:bookmarkStart w:id="14" w:name="_heading=h.laybfnqer3op" w:colFirst="0" w:colLast="0"/>
      <w:bookmarkEnd w:id="14"/>
      <w:r>
        <w:t>10. How do clients renew their financial assistance?</w:t>
      </w:r>
    </w:p>
    <w:p w14:paraId="741069A5" w14:textId="77777777" w:rsidR="000F5BA5" w:rsidRDefault="00000000">
      <w:pPr>
        <w:rPr>
          <w:b/>
          <w:bCs/>
        </w:rPr>
      </w:pPr>
      <w:r>
        <w:rPr>
          <w:b/>
          <w:bCs/>
          <w:noProof/>
        </w:rPr>
        <w:drawing>
          <wp:inline distT="114300" distB="114300" distL="114300" distR="114300" wp14:anchorId="51E59552" wp14:editId="6F9E3A83">
            <wp:extent cx="749300" cy="215900"/>
            <wp:effectExtent l="0" t="0" r="0" b="0"/>
            <wp:docPr id="124" name="image3.png" descr="APTC and CSR"/>
            <wp:cNvGraphicFramePr/>
            <a:graphic xmlns:a="http://schemas.openxmlformats.org/drawingml/2006/main">
              <a:graphicData uri="http://schemas.openxmlformats.org/drawingml/2006/picture">
                <pic:pic xmlns:pic="http://schemas.openxmlformats.org/drawingml/2006/picture">
                  <pic:nvPicPr>
                    <pic:cNvPr id="0" name="image3.png" descr="APTC and CSR"/>
                    <pic:cNvPicPr preferRelativeResize="0"/>
                  </pic:nvPicPr>
                  <pic:blipFill>
                    <a:blip r:embed="rId26"/>
                    <a:srcRect/>
                    <a:stretch>
                      <a:fillRect/>
                    </a:stretch>
                  </pic:blipFill>
                  <pic:spPr>
                    <a:xfrm>
                      <a:off x="0" y="0"/>
                      <a:ext cx="749300" cy="215900"/>
                    </a:xfrm>
                    <a:prstGeom prst="rect">
                      <a:avLst/>
                    </a:prstGeom>
                    <a:ln/>
                  </pic:spPr>
                </pic:pic>
              </a:graphicData>
            </a:graphic>
          </wp:inline>
        </w:drawing>
      </w:r>
    </w:p>
    <w:p w14:paraId="34B1DF25" w14:textId="77777777" w:rsidR="000F5BA5" w:rsidRDefault="00000000">
      <w:r>
        <w:t xml:space="preserve">Clients will get a notice from their insurance company that explains any changes from last year’s plan. This letter will also include an estimate of the PTC for the upcoming </w:t>
      </w:r>
      <w:proofErr w:type="gramStart"/>
      <w:r>
        <w:t>plan</w:t>
      </w:r>
      <w:proofErr w:type="gramEnd"/>
      <w:r>
        <w:t xml:space="preserve"> year. </w:t>
      </w:r>
    </w:p>
    <w:p w14:paraId="26CA6031" w14:textId="77777777" w:rsidR="000F5BA5" w:rsidRDefault="000F5BA5"/>
    <w:p w14:paraId="3CD8F1CC" w14:textId="77777777" w:rsidR="000F5BA5" w:rsidRDefault="00000000">
      <w:r>
        <w:t>As part of tax filing, clients must reconcile the APTCs they received with their actual year-end income to determine whether they received the correct amount of assistance and if they need to pay back or are owed money. Clients must also authorize the collection of tax data when updating their application for the next Open Enrollment Period. If they do not reconcile PTCs or authorize collection of tax data, they will not receive PTCs or CSRs.</w:t>
      </w:r>
    </w:p>
    <w:p w14:paraId="69C0E936" w14:textId="77777777" w:rsidR="000F5BA5" w:rsidRDefault="000F5BA5"/>
    <w:p w14:paraId="28BFAF1C" w14:textId="77777777" w:rsidR="000F5BA5" w:rsidRDefault="00000000">
      <w:pPr>
        <w:rPr>
          <w:b/>
          <w:bCs/>
        </w:rPr>
      </w:pPr>
      <w:hyperlink r:id="rId39" w:anchor="top">
        <w:r>
          <w:rPr>
            <w:color w:val="1155CC"/>
            <w:u w:val="single"/>
          </w:rPr>
          <w:t>Back to top</w:t>
        </w:r>
      </w:hyperlink>
    </w:p>
    <w:p w14:paraId="5CAD8DA0" w14:textId="77777777" w:rsidR="000F5BA5" w:rsidRDefault="000F5BA5"/>
    <w:p w14:paraId="091F25C5" w14:textId="77777777" w:rsidR="000F5BA5" w:rsidRDefault="00000000">
      <w:pPr>
        <w:pStyle w:val="Heading2"/>
        <w:keepNext w:val="0"/>
        <w:keepLines w:val="0"/>
      </w:pPr>
      <w:bookmarkStart w:id="15" w:name="_heading=h.2qy4tlx6qxkf" w:colFirst="0" w:colLast="0"/>
      <w:bookmarkEnd w:id="15"/>
      <w:r>
        <w:t>11. What if a client’s circumstances change?</w:t>
      </w:r>
    </w:p>
    <w:p w14:paraId="0AF8A699" w14:textId="77777777" w:rsidR="000F5BA5" w:rsidRDefault="00000000">
      <w:pPr>
        <w:rPr>
          <w:b/>
          <w:bCs/>
        </w:rPr>
      </w:pPr>
      <w:r>
        <w:rPr>
          <w:b/>
          <w:bCs/>
          <w:noProof/>
        </w:rPr>
        <w:drawing>
          <wp:inline distT="114300" distB="114300" distL="114300" distR="114300" wp14:anchorId="2437979F" wp14:editId="03C07520">
            <wp:extent cx="749300" cy="215900"/>
            <wp:effectExtent l="0" t="0" r="0" b="0"/>
            <wp:docPr id="125" name="image3.png" descr="APTC and CSR"/>
            <wp:cNvGraphicFramePr/>
            <a:graphic xmlns:a="http://schemas.openxmlformats.org/drawingml/2006/main">
              <a:graphicData uri="http://schemas.openxmlformats.org/drawingml/2006/picture">
                <pic:pic xmlns:pic="http://schemas.openxmlformats.org/drawingml/2006/picture">
                  <pic:nvPicPr>
                    <pic:cNvPr id="0" name="image3.png" descr="APTC and CSR"/>
                    <pic:cNvPicPr preferRelativeResize="0"/>
                  </pic:nvPicPr>
                  <pic:blipFill>
                    <a:blip r:embed="rId26"/>
                    <a:srcRect/>
                    <a:stretch>
                      <a:fillRect/>
                    </a:stretch>
                  </pic:blipFill>
                  <pic:spPr>
                    <a:xfrm>
                      <a:off x="0" y="0"/>
                      <a:ext cx="749300" cy="215900"/>
                    </a:xfrm>
                    <a:prstGeom prst="rect">
                      <a:avLst/>
                    </a:prstGeom>
                    <a:ln/>
                  </pic:spPr>
                </pic:pic>
              </a:graphicData>
            </a:graphic>
          </wp:inline>
        </w:drawing>
      </w:r>
    </w:p>
    <w:p w14:paraId="001BFF9F" w14:textId="77777777" w:rsidR="000F5BA5" w:rsidRDefault="00000000">
      <w:r>
        <w:t xml:space="preserve">Changes in some circumstances can affect the PTC or CSR amount. These circumstances include change in household income; life events such as marriage, divorce, birth, or adoption of a child; other changes to household composition; and gaining or losing eligibility for government or employer health care coverage. Note that changes in household income or composition may not qualify as a life event that would allow someone to enroll during a </w:t>
      </w:r>
      <w:hyperlink r:id="rId40">
        <w:r>
          <w:rPr>
            <w:color w:val="1155CC"/>
            <w:u w:val="single"/>
          </w:rPr>
          <w:t>Special Enrollment Period</w:t>
        </w:r>
      </w:hyperlink>
      <w:r>
        <w:t>. It is important for clients to report accurate income information and any income or family size changes throughout the year to avoid owing money at the end of the year.</w:t>
      </w:r>
    </w:p>
    <w:p w14:paraId="4D2A278A" w14:textId="77777777" w:rsidR="000F5BA5" w:rsidRDefault="000F5BA5"/>
    <w:p w14:paraId="653BBC7D" w14:textId="77777777" w:rsidR="000F5BA5" w:rsidRDefault="00000000">
      <w:pPr>
        <w:rPr>
          <w:color w:val="1976D2"/>
        </w:rPr>
      </w:pPr>
      <w:hyperlink r:id="rId41" w:anchor="top">
        <w:r>
          <w:rPr>
            <w:color w:val="1155CC"/>
            <w:u w:val="single"/>
          </w:rPr>
          <w:t>Back to top</w:t>
        </w:r>
      </w:hyperlink>
      <w:r>
        <w:fldChar w:fldCharType="begin"/>
      </w:r>
      <w:r>
        <w:instrText xml:space="preserve"> HYPERLINK "https://careacttarget.org/#top" </w:instrText>
      </w:r>
      <w:r>
        <w:fldChar w:fldCharType="separate"/>
      </w:r>
    </w:p>
    <w:p w14:paraId="3FBAEA17" w14:textId="77777777" w:rsidR="000F5BA5" w:rsidRDefault="00000000">
      <w:r>
        <w:fldChar w:fldCharType="end"/>
      </w:r>
    </w:p>
    <w:p w14:paraId="00B356AA" w14:textId="77777777" w:rsidR="000F5BA5" w:rsidRDefault="00000000">
      <w:pPr>
        <w:pStyle w:val="Heading2"/>
        <w:keepNext w:val="0"/>
        <w:keepLines w:val="0"/>
      </w:pPr>
      <w:bookmarkStart w:id="16" w:name="_heading=h.aceljqa09y7q" w:colFirst="0" w:colLast="0"/>
      <w:bookmarkEnd w:id="16"/>
      <w:r>
        <w:t>12. Is financial assistance reviewed at the end of the year to account for changes in clients’ circumstances?</w:t>
      </w:r>
    </w:p>
    <w:p w14:paraId="7B107738" w14:textId="77777777" w:rsidR="000F5BA5" w:rsidRDefault="00000000">
      <w:pPr>
        <w:rPr>
          <w:b/>
          <w:bCs/>
        </w:rPr>
      </w:pPr>
      <w:r>
        <w:rPr>
          <w:b/>
          <w:bCs/>
          <w:noProof/>
        </w:rPr>
        <w:drawing>
          <wp:inline distT="114300" distB="114300" distL="114300" distR="114300" wp14:anchorId="0959EF3F" wp14:editId="5A3BF437">
            <wp:extent cx="355600" cy="215900"/>
            <wp:effectExtent l="0" t="0" r="0" b="0"/>
            <wp:docPr id="126" name="image5.png" descr="APTC"/>
            <wp:cNvGraphicFramePr/>
            <a:graphic xmlns:a="http://schemas.openxmlformats.org/drawingml/2006/main">
              <a:graphicData uri="http://schemas.openxmlformats.org/drawingml/2006/picture">
                <pic:pic xmlns:pic="http://schemas.openxmlformats.org/drawingml/2006/picture">
                  <pic:nvPicPr>
                    <pic:cNvPr id="0" name="image5.png" descr="APTC"/>
                    <pic:cNvPicPr preferRelativeResize="0"/>
                  </pic:nvPicPr>
                  <pic:blipFill>
                    <a:blip r:embed="rId20"/>
                    <a:srcRect/>
                    <a:stretch>
                      <a:fillRect/>
                    </a:stretch>
                  </pic:blipFill>
                  <pic:spPr>
                    <a:xfrm>
                      <a:off x="0" y="0"/>
                      <a:ext cx="355600" cy="215900"/>
                    </a:xfrm>
                    <a:prstGeom prst="rect">
                      <a:avLst/>
                    </a:prstGeom>
                    <a:ln/>
                  </pic:spPr>
                </pic:pic>
              </a:graphicData>
            </a:graphic>
          </wp:inline>
        </w:drawing>
      </w:r>
    </w:p>
    <w:p w14:paraId="41BA99C7" w14:textId="77777777" w:rsidR="000F5BA5" w:rsidRDefault="00000000">
      <w:pPr>
        <w:spacing w:before="240" w:after="240"/>
      </w:pPr>
      <w:r>
        <w:rPr>
          <w:b/>
          <w:bCs/>
        </w:rPr>
        <w:t>Advance Premium Tax Credits (APTCs)</w:t>
      </w:r>
      <w:r>
        <w:t xml:space="preserve"> are reconciled at the end of the year when a client files their federal income tax return. To complete this reconciliation, clients must fill out </w:t>
      </w:r>
      <w:hyperlink r:id="rId42">
        <w:r>
          <w:rPr>
            <w:b/>
            <w:bCs/>
            <w:color w:val="1155CC"/>
            <w:u w:val="single"/>
          </w:rPr>
          <w:t>IRS Form 8962</w:t>
        </w:r>
      </w:hyperlink>
      <w:r>
        <w:t xml:space="preserve"> to compare the advance payments sent to their insurer during the year with the actual Premium Tax Credit (PTC) they qualify for based on their final end-of-year household income and size.</w:t>
      </w:r>
    </w:p>
    <w:p w14:paraId="2EAA4508" w14:textId="77777777" w:rsidR="000F5BA5" w:rsidRDefault="00000000">
      <w:pPr>
        <w:spacing w:before="240" w:after="240"/>
      </w:pPr>
      <w:r>
        <w:t xml:space="preserve">The exact </w:t>
      </w:r>
      <w:proofErr w:type="gramStart"/>
      <w:r>
        <w:t>amount</w:t>
      </w:r>
      <w:proofErr w:type="gramEnd"/>
      <w:r>
        <w:t xml:space="preserve"> of advance payments received is reported on </w:t>
      </w:r>
      <w:r>
        <w:rPr>
          <w:b/>
          <w:bCs/>
        </w:rPr>
        <w:t>Form 1095-A</w:t>
      </w:r>
      <w:r>
        <w:t xml:space="preserve"> (the Health Insurance Marketplace Statement), which the Marketplace sends to clients by late January following the end of the plan year.</w:t>
      </w:r>
    </w:p>
    <w:p w14:paraId="5527004C" w14:textId="77777777" w:rsidR="000F5BA5" w:rsidRDefault="00000000">
      <w:pPr>
        <w:spacing w:before="240" w:after="240"/>
      </w:pPr>
      <w:r>
        <w:t>The information entered on Form 8962 determines the client’s final tax obligation:</w:t>
      </w:r>
    </w:p>
    <w:p w14:paraId="54434CE2" w14:textId="77777777" w:rsidR="000F5BA5" w:rsidRDefault="00000000">
      <w:pPr>
        <w:numPr>
          <w:ilvl w:val="0"/>
          <w:numId w:val="6"/>
        </w:numPr>
        <w:spacing w:before="240"/>
      </w:pPr>
      <w:r>
        <w:rPr>
          <w:b/>
          <w:bCs/>
        </w:rPr>
        <w:t>If the client received less APTC than they qualified for</w:t>
      </w:r>
      <w:r>
        <w:t>, the remaining credit is added to their tax refund or reduces taxes owed.</w:t>
      </w:r>
    </w:p>
    <w:p w14:paraId="34E95BCF" w14:textId="77777777" w:rsidR="000F5BA5" w:rsidRDefault="00000000">
      <w:pPr>
        <w:numPr>
          <w:ilvl w:val="0"/>
          <w:numId w:val="6"/>
        </w:numPr>
        <w:spacing w:after="240"/>
      </w:pPr>
      <w:r>
        <w:rPr>
          <w:b/>
          <w:bCs/>
        </w:rPr>
        <w:t>If the client received more APTC than they qualified for</w:t>
      </w:r>
      <w:r>
        <w:t>, they must pay back the entire excess amount to the IRS. Full repayment of excess APTC is required at tax time.</w:t>
      </w:r>
    </w:p>
    <w:p w14:paraId="7773E8A4" w14:textId="77777777" w:rsidR="000F5BA5" w:rsidRDefault="000F5BA5"/>
    <w:p w14:paraId="34B0D09E" w14:textId="77777777" w:rsidR="000F5BA5" w:rsidRDefault="000F5BA5"/>
    <w:p w14:paraId="7E400CBE" w14:textId="77777777" w:rsidR="000F5BA5" w:rsidRDefault="00000000">
      <w:r>
        <w:rPr>
          <w:noProof/>
        </w:rPr>
        <w:drawing>
          <wp:inline distT="114300" distB="114300" distL="114300" distR="114300" wp14:anchorId="4914C1E3" wp14:editId="3C5F0E7C">
            <wp:extent cx="355600" cy="215900"/>
            <wp:effectExtent l="0" t="0" r="0" b="0"/>
            <wp:docPr id="127" name="image4.png" descr="CSR"/>
            <wp:cNvGraphicFramePr/>
            <a:graphic xmlns:a="http://schemas.openxmlformats.org/drawingml/2006/main">
              <a:graphicData uri="http://schemas.openxmlformats.org/drawingml/2006/picture">
                <pic:pic xmlns:pic="http://schemas.openxmlformats.org/drawingml/2006/picture">
                  <pic:nvPicPr>
                    <pic:cNvPr id="0" name="image4.png" descr="CSR"/>
                    <pic:cNvPicPr preferRelativeResize="0"/>
                  </pic:nvPicPr>
                  <pic:blipFill>
                    <a:blip r:embed="rId22"/>
                    <a:srcRect/>
                    <a:stretch>
                      <a:fillRect/>
                    </a:stretch>
                  </pic:blipFill>
                  <pic:spPr>
                    <a:xfrm>
                      <a:off x="0" y="0"/>
                      <a:ext cx="355600" cy="215900"/>
                    </a:xfrm>
                    <a:prstGeom prst="rect">
                      <a:avLst/>
                    </a:prstGeom>
                    <a:ln/>
                  </pic:spPr>
                </pic:pic>
              </a:graphicData>
            </a:graphic>
          </wp:inline>
        </w:drawing>
      </w:r>
    </w:p>
    <w:p w14:paraId="7A35E2EF" w14:textId="77777777" w:rsidR="000F5BA5" w:rsidRDefault="00000000">
      <w:r>
        <w:t>CSRs are not reconciled at the end of the year.</w:t>
      </w:r>
    </w:p>
    <w:p w14:paraId="004FEC3B" w14:textId="77777777" w:rsidR="000F5BA5" w:rsidRDefault="000F5BA5"/>
    <w:p w14:paraId="15263B39" w14:textId="77777777" w:rsidR="000F5BA5" w:rsidRDefault="00000000">
      <w:pPr>
        <w:rPr>
          <w:b/>
          <w:bCs/>
        </w:rPr>
      </w:pPr>
      <w:hyperlink r:id="rId43" w:anchor="top">
        <w:r>
          <w:rPr>
            <w:color w:val="1155CC"/>
            <w:u w:val="single"/>
          </w:rPr>
          <w:t>Back to top</w:t>
        </w:r>
      </w:hyperlink>
    </w:p>
    <w:p w14:paraId="76BABE7D" w14:textId="77777777" w:rsidR="000F5BA5" w:rsidRDefault="000F5BA5"/>
    <w:p w14:paraId="752AC63D" w14:textId="77777777" w:rsidR="000F5BA5" w:rsidRDefault="00000000">
      <w:pPr>
        <w:pStyle w:val="Heading2"/>
        <w:keepNext w:val="0"/>
        <w:keepLines w:val="0"/>
      </w:pPr>
      <w:bookmarkStart w:id="17" w:name="_heading=h.v26vlvevzk9n" w:colFirst="0" w:colLast="0"/>
      <w:bookmarkEnd w:id="17"/>
      <w:r>
        <w:t>13. Does immigration status affect eligibility for financial help in the Marketplace?</w:t>
      </w:r>
    </w:p>
    <w:p w14:paraId="0503F5BE" w14:textId="77777777" w:rsidR="000F5BA5" w:rsidRDefault="00000000">
      <w:pPr>
        <w:rPr>
          <w:b/>
          <w:bCs/>
        </w:rPr>
      </w:pPr>
      <w:r>
        <w:rPr>
          <w:b/>
          <w:bCs/>
          <w:noProof/>
        </w:rPr>
        <w:lastRenderedPageBreak/>
        <w:drawing>
          <wp:inline distT="114300" distB="114300" distL="114300" distR="114300" wp14:anchorId="25BB8FE7" wp14:editId="278C5721">
            <wp:extent cx="749300" cy="215900"/>
            <wp:effectExtent l="0" t="0" r="0" b="0"/>
            <wp:docPr id="128" name="image3.png" descr="APTC and CSR"/>
            <wp:cNvGraphicFramePr/>
            <a:graphic xmlns:a="http://schemas.openxmlformats.org/drawingml/2006/main">
              <a:graphicData uri="http://schemas.openxmlformats.org/drawingml/2006/picture">
                <pic:pic xmlns:pic="http://schemas.openxmlformats.org/drawingml/2006/picture">
                  <pic:nvPicPr>
                    <pic:cNvPr id="0" name="image3.png" descr="APTC and CSR"/>
                    <pic:cNvPicPr preferRelativeResize="0"/>
                  </pic:nvPicPr>
                  <pic:blipFill>
                    <a:blip r:embed="rId26"/>
                    <a:srcRect/>
                    <a:stretch>
                      <a:fillRect/>
                    </a:stretch>
                  </pic:blipFill>
                  <pic:spPr>
                    <a:xfrm>
                      <a:off x="0" y="0"/>
                      <a:ext cx="749300" cy="215900"/>
                    </a:xfrm>
                    <a:prstGeom prst="rect">
                      <a:avLst/>
                    </a:prstGeom>
                    <a:ln/>
                  </pic:spPr>
                </pic:pic>
              </a:graphicData>
            </a:graphic>
          </wp:inline>
        </w:drawing>
      </w:r>
    </w:p>
    <w:p w14:paraId="03F73CF0" w14:textId="77777777" w:rsidR="000F5BA5" w:rsidRDefault="00000000">
      <w:r>
        <w:t>Yes. Lawfully present immigrants with incomes between 100% and 400% FPL may be eligible for premium tax credits and those with incomes between 100% to 250% FPL may also be eligible for cost-sharing reductions. Lawfully present immigrants with household incomes below 100% FPL and not otherwise eligible for Medicaid based on immigration status may be eligible for tax credits and lower out-of-pocket costs if they meet all other eligibility requirements.</w:t>
      </w:r>
    </w:p>
    <w:p w14:paraId="3EE97E88" w14:textId="77777777" w:rsidR="000F5BA5" w:rsidRDefault="000F5BA5"/>
    <w:p w14:paraId="1EA7FBDA" w14:textId="77777777" w:rsidR="000F5BA5" w:rsidRDefault="00000000">
      <w:r>
        <w:t>Undocumented immigrants are not eligible to buy health coverage through the Marketplace. They are not eligible for premium tax credits or other savings on Marketplace plans.</w:t>
      </w:r>
    </w:p>
    <w:p w14:paraId="2D75A8DF" w14:textId="77777777" w:rsidR="000F5BA5" w:rsidRDefault="000F5BA5"/>
    <w:p w14:paraId="15DC4237" w14:textId="77777777" w:rsidR="000F5BA5" w:rsidRDefault="00000000">
      <w:pPr>
        <w:rPr>
          <w:b/>
          <w:bCs/>
        </w:rPr>
      </w:pPr>
      <w:hyperlink r:id="rId44" w:anchor="top">
        <w:r>
          <w:rPr>
            <w:color w:val="1155CC"/>
            <w:u w:val="single"/>
          </w:rPr>
          <w:t>Back to top</w:t>
        </w:r>
      </w:hyperlink>
    </w:p>
    <w:p w14:paraId="3DE4EB3B" w14:textId="77777777" w:rsidR="000F5BA5" w:rsidRDefault="000F5BA5"/>
    <w:p w14:paraId="12211991" w14:textId="77777777" w:rsidR="000F5BA5" w:rsidRDefault="00000000">
      <w:pPr>
        <w:pStyle w:val="Heading2"/>
      </w:pPr>
      <w:bookmarkStart w:id="18" w:name="_heading=h.djoxm666j2kf" w:colFirst="0" w:colLast="0"/>
      <w:bookmarkEnd w:id="18"/>
      <w:r>
        <w:t>14. How do PTCs and CSRs compare?</w:t>
      </w:r>
    </w:p>
    <w:p w14:paraId="1ADE8F11" w14:textId="77777777" w:rsidR="000F5BA5" w:rsidRDefault="000F5BA5">
      <w:pPr>
        <w:rPr>
          <w:b/>
          <w:bCs/>
        </w:rPr>
      </w:pPr>
    </w:p>
    <w:tbl>
      <w:tblPr>
        <w:tblStyle w:val="a1"/>
        <w:tblW w:w="936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6766"/>
        <w:gridCol w:w="1297"/>
        <w:gridCol w:w="1297"/>
      </w:tblGrid>
      <w:tr w:rsidR="000F5BA5" w14:paraId="5507D635" w14:textId="77777777">
        <w:trPr>
          <w:trHeight w:val="8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67234C46" w14:textId="77777777" w:rsidR="000F5BA5" w:rsidRDefault="00000000">
            <w:pPr>
              <w:rPr>
                <w:sz w:val="20"/>
                <w:szCs w:val="20"/>
              </w:rPr>
            </w:pPr>
            <w:r>
              <w:rPr>
                <w:sz w:val="20"/>
                <w:szCs w:val="20"/>
              </w:rPr>
              <w:t xml:space="preserve"> </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5032161C" w14:textId="77777777" w:rsidR="000F5BA5" w:rsidRDefault="00000000">
            <w:pPr>
              <w:jc w:val="center"/>
              <w:rPr>
                <w:sz w:val="20"/>
                <w:szCs w:val="20"/>
              </w:rPr>
            </w:pPr>
            <w:r>
              <w:rPr>
                <w:b/>
                <w:bCs/>
                <w:sz w:val="20"/>
                <w:szCs w:val="20"/>
              </w:rPr>
              <w:t>PTC</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2C87139A" w14:textId="77777777" w:rsidR="000F5BA5" w:rsidRDefault="00000000">
            <w:pPr>
              <w:jc w:val="center"/>
              <w:rPr>
                <w:sz w:val="20"/>
                <w:szCs w:val="20"/>
              </w:rPr>
            </w:pPr>
            <w:r>
              <w:rPr>
                <w:b/>
                <w:bCs/>
                <w:sz w:val="20"/>
                <w:szCs w:val="20"/>
              </w:rPr>
              <w:t>CSR</w:t>
            </w:r>
          </w:p>
        </w:tc>
      </w:tr>
      <w:tr w:rsidR="000F5BA5" w14:paraId="3F43DF9D" w14:textId="77777777">
        <w:trPr>
          <w:trHeight w:val="800"/>
        </w:trPr>
        <w:tc>
          <w:tcPr>
            <w:tcW w:w="9360" w:type="dxa"/>
            <w:gridSpan w:val="3"/>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28B1923C" w14:textId="77777777" w:rsidR="000F5BA5" w:rsidRDefault="00000000">
            <w:pPr>
              <w:rPr>
                <w:b/>
                <w:bCs/>
                <w:i/>
                <w:iCs/>
                <w:sz w:val="20"/>
                <w:szCs w:val="20"/>
              </w:rPr>
            </w:pPr>
            <w:r>
              <w:rPr>
                <w:b/>
                <w:bCs/>
                <w:i/>
                <w:iCs/>
                <w:sz w:val="20"/>
                <w:szCs w:val="20"/>
              </w:rPr>
              <w:t xml:space="preserve">What </w:t>
            </w:r>
            <w:proofErr w:type="gramStart"/>
            <w:r>
              <w:rPr>
                <w:b/>
                <w:bCs/>
                <w:i/>
                <w:iCs/>
                <w:sz w:val="20"/>
                <w:szCs w:val="20"/>
              </w:rPr>
              <w:t>they can</w:t>
            </w:r>
            <w:proofErr w:type="gramEnd"/>
            <w:r>
              <w:rPr>
                <w:b/>
                <w:bCs/>
                <w:i/>
                <w:iCs/>
                <w:sz w:val="20"/>
                <w:szCs w:val="20"/>
              </w:rPr>
              <w:t xml:space="preserve"> be used to pay for:</w:t>
            </w:r>
          </w:p>
        </w:tc>
      </w:tr>
      <w:tr w:rsidR="000F5BA5" w14:paraId="317162CF" w14:textId="77777777">
        <w:trPr>
          <w:trHeight w:val="8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29E65F61" w14:textId="77777777" w:rsidR="000F5BA5" w:rsidRDefault="00000000">
            <w:pPr>
              <w:rPr>
                <w:sz w:val="20"/>
                <w:szCs w:val="20"/>
              </w:rPr>
            </w:pPr>
            <w:r>
              <w:rPr>
                <w:sz w:val="20"/>
                <w:szCs w:val="20"/>
              </w:rPr>
              <w:t>Premiums</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05E5E1CF" w14:textId="77777777" w:rsidR="000F5BA5" w:rsidRDefault="00000000">
            <w:pPr>
              <w:jc w:val="center"/>
              <w:rPr>
                <w:sz w:val="20"/>
                <w:szCs w:val="20"/>
              </w:rPr>
            </w:pPr>
            <w:r>
              <w:rPr>
                <w:noProof/>
                <w:sz w:val="20"/>
                <w:szCs w:val="20"/>
              </w:rPr>
              <w:drawing>
                <wp:inline distT="114300" distB="114300" distL="114300" distR="114300" wp14:anchorId="4DF74808" wp14:editId="229339D8">
                  <wp:extent cx="190500" cy="139700"/>
                  <wp:effectExtent l="0" t="0" r="0" b="0"/>
                  <wp:docPr id="129"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5F14864F" w14:textId="77777777" w:rsidR="000F5BA5" w:rsidRDefault="00000000">
            <w:pPr>
              <w:jc w:val="center"/>
              <w:rPr>
                <w:sz w:val="20"/>
                <w:szCs w:val="20"/>
              </w:rPr>
            </w:pPr>
            <w:r>
              <w:rPr>
                <w:noProof/>
                <w:sz w:val="20"/>
                <w:szCs w:val="20"/>
              </w:rPr>
              <w:drawing>
                <wp:inline distT="114300" distB="114300" distL="114300" distR="114300" wp14:anchorId="051ECC45" wp14:editId="098F1A68">
                  <wp:extent cx="190500" cy="190500"/>
                  <wp:effectExtent l="0" t="0" r="0" b="0"/>
                  <wp:docPr id="100" name="image1.png" descr="x"/>
                  <wp:cNvGraphicFramePr/>
                  <a:graphic xmlns:a="http://schemas.openxmlformats.org/drawingml/2006/main">
                    <a:graphicData uri="http://schemas.openxmlformats.org/drawingml/2006/picture">
                      <pic:pic xmlns:pic="http://schemas.openxmlformats.org/drawingml/2006/picture">
                        <pic:nvPicPr>
                          <pic:cNvPr id="0" name="image1.png" descr="x"/>
                          <pic:cNvPicPr preferRelativeResize="0"/>
                        </pic:nvPicPr>
                        <pic:blipFill>
                          <a:blip r:embed="rId46"/>
                          <a:srcRect/>
                          <a:stretch>
                            <a:fillRect/>
                          </a:stretch>
                        </pic:blipFill>
                        <pic:spPr>
                          <a:xfrm>
                            <a:off x="0" y="0"/>
                            <a:ext cx="190500" cy="190500"/>
                          </a:xfrm>
                          <a:prstGeom prst="rect">
                            <a:avLst/>
                          </a:prstGeom>
                          <a:ln/>
                        </pic:spPr>
                      </pic:pic>
                    </a:graphicData>
                  </a:graphic>
                </wp:inline>
              </w:drawing>
            </w:r>
          </w:p>
        </w:tc>
      </w:tr>
      <w:tr w:rsidR="000F5BA5" w14:paraId="1AFBF766" w14:textId="77777777">
        <w:trPr>
          <w:trHeight w:val="8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65E87E6E" w14:textId="77777777" w:rsidR="000F5BA5" w:rsidRDefault="00000000">
            <w:pPr>
              <w:rPr>
                <w:sz w:val="20"/>
                <w:szCs w:val="20"/>
              </w:rPr>
            </w:pPr>
            <w:r>
              <w:rPr>
                <w:sz w:val="20"/>
                <w:szCs w:val="20"/>
              </w:rPr>
              <w:t>Deductibles</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23473CFF" w14:textId="77777777" w:rsidR="000F5BA5" w:rsidRDefault="00000000">
            <w:pPr>
              <w:jc w:val="center"/>
              <w:rPr>
                <w:sz w:val="20"/>
                <w:szCs w:val="20"/>
              </w:rPr>
            </w:pPr>
            <w:r>
              <w:rPr>
                <w:noProof/>
                <w:sz w:val="20"/>
                <w:szCs w:val="20"/>
              </w:rPr>
              <w:drawing>
                <wp:inline distT="114300" distB="114300" distL="114300" distR="114300" wp14:anchorId="51F4C91E" wp14:editId="36D46CB9">
                  <wp:extent cx="190500" cy="190500"/>
                  <wp:effectExtent l="0" t="0" r="0" b="0"/>
                  <wp:docPr id="101" name="image1.png" descr="x"/>
                  <wp:cNvGraphicFramePr/>
                  <a:graphic xmlns:a="http://schemas.openxmlformats.org/drawingml/2006/main">
                    <a:graphicData uri="http://schemas.openxmlformats.org/drawingml/2006/picture">
                      <pic:pic xmlns:pic="http://schemas.openxmlformats.org/drawingml/2006/picture">
                        <pic:nvPicPr>
                          <pic:cNvPr id="0" name="image1.png" descr="x"/>
                          <pic:cNvPicPr preferRelativeResize="0"/>
                        </pic:nvPicPr>
                        <pic:blipFill>
                          <a:blip r:embed="rId46"/>
                          <a:srcRect/>
                          <a:stretch>
                            <a:fillRect/>
                          </a:stretch>
                        </pic:blipFill>
                        <pic:spPr>
                          <a:xfrm>
                            <a:off x="0" y="0"/>
                            <a:ext cx="190500" cy="190500"/>
                          </a:xfrm>
                          <a:prstGeom prst="rect">
                            <a:avLst/>
                          </a:prstGeom>
                          <a:ln/>
                        </pic:spPr>
                      </pic:pic>
                    </a:graphicData>
                  </a:graphic>
                </wp:inline>
              </w:drawing>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7EFBBFDA" w14:textId="77777777" w:rsidR="000F5BA5" w:rsidRDefault="00000000">
            <w:pPr>
              <w:jc w:val="center"/>
              <w:rPr>
                <w:sz w:val="20"/>
                <w:szCs w:val="20"/>
              </w:rPr>
            </w:pPr>
            <w:r>
              <w:rPr>
                <w:noProof/>
                <w:sz w:val="20"/>
                <w:szCs w:val="20"/>
              </w:rPr>
              <w:drawing>
                <wp:inline distT="114300" distB="114300" distL="114300" distR="114300" wp14:anchorId="0E5BD378" wp14:editId="73CC6966">
                  <wp:extent cx="190500" cy="139700"/>
                  <wp:effectExtent l="0" t="0" r="0" b="0"/>
                  <wp:docPr id="102"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tc>
      </w:tr>
      <w:tr w:rsidR="000F5BA5" w14:paraId="2EC4D3B1" w14:textId="77777777">
        <w:trPr>
          <w:trHeight w:val="8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4F4EB86E" w14:textId="77777777" w:rsidR="000F5BA5" w:rsidRDefault="00000000">
            <w:pPr>
              <w:rPr>
                <w:sz w:val="20"/>
                <w:szCs w:val="20"/>
              </w:rPr>
            </w:pPr>
            <w:r>
              <w:rPr>
                <w:sz w:val="20"/>
                <w:szCs w:val="20"/>
              </w:rPr>
              <w:t>Copays</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1A062C87" w14:textId="77777777" w:rsidR="000F5BA5" w:rsidRDefault="00000000">
            <w:pPr>
              <w:jc w:val="center"/>
              <w:rPr>
                <w:sz w:val="20"/>
                <w:szCs w:val="20"/>
              </w:rPr>
            </w:pPr>
            <w:r>
              <w:rPr>
                <w:noProof/>
                <w:sz w:val="20"/>
                <w:szCs w:val="20"/>
              </w:rPr>
              <w:drawing>
                <wp:inline distT="114300" distB="114300" distL="114300" distR="114300" wp14:anchorId="03F460D9" wp14:editId="513422CC">
                  <wp:extent cx="190500" cy="190500"/>
                  <wp:effectExtent l="0" t="0" r="0" b="0"/>
                  <wp:docPr id="103" name="image1.png" descr="x"/>
                  <wp:cNvGraphicFramePr/>
                  <a:graphic xmlns:a="http://schemas.openxmlformats.org/drawingml/2006/main">
                    <a:graphicData uri="http://schemas.openxmlformats.org/drawingml/2006/picture">
                      <pic:pic xmlns:pic="http://schemas.openxmlformats.org/drawingml/2006/picture">
                        <pic:nvPicPr>
                          <pic:cNvPr id="0" name="image1.png" descr="x"/>
                          <pic:cNvPicPr preferRelativeResize="0"/>
                        </pic:nvPicPr>
                        <pic:blipFill>
                          <a:blip r:embed="rId46"/>
                          <a:srcRect/>
                          <a:stretch>
                            <a:fillRect/>
                          </a:stretch>
                        </pic:blipFill>
                        <pic:spPr>
                          <a:xfrm>
                            <a:off x="0" y="0"/>
                            <a:ext cx="190500" cy="190500"/>
                          </a:xfrm>
                          <a:prstGeom prst="rect">
                            <a:avLst/>
                          </a:prstGeom>
                          <a:ln/>
                        </pic:spPr>
                      </pic:pic>
                    </a:graphicData>
                  </a:graphic>
                </wp:inline>
              </w:drawing>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79E70557" w14:textId="77777777" w:rsidR="000F5BA5" w:rsidRDefault="00000000">
            <w:pPr>
              <w:jc w:val="center"/>
              <w:rPr>
                <w:sz w:val="20"/>
                <w:szCs w:val="20"/>
              </w:rPr>
            </w:pPr>
            <w:r>
              <w:rPr>
                <w:noProof/>
                <w:sz w:val="20"/>
                <w:szCs w:val="20"/>
              </w:rPr>
              <w:drawing>
                <wp:inline distT="114300" distB="114300" distL="114300" distR="114300" wp14:anchorId="5827CE44" wp14:editId="0A20DE99">
                  <wp:extent cx="190500" cy="139700"/>
                  <wp:effectExtent l="0" t="0" r="0" b="0"/>
                  <wp:docPr id="104"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tc>
      </w:tr>
      <w:tr w:rsidR="000F5BA5" w14:paraId="36C44EA4" w14:textId="77777777">
        <w:trPr>
          <w:trHeight w:val="8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4FF9F528" w14:textId="77777777" w:rsidR="000F5BA5" w:rsidRDefault="00000000">
            <w:pPr>
              <w:rPr>
                <w:sz w:val="20"/>
                <w:szCs w:val="20"/>
              </w:rPr>
            </w:pPr>
            <w:r>
              <w:rPr>
                <w:sz w:val="20"/>
                <w:szCs w:val="20"/>
              </w:rPr>
              <w:lastRenderedPageBreak/>
              <w:t>Coinsurance</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433EE0CA" w14:textId="77777777" w:rsidR="000F5BA5" w:rsidRDefault="00000000">
            <w:pPr>
              <w:jc w:val="center"/>
              <w:rPr>
                <w:sz w:val="20"/>
                <w:szCs w:val="20"/>
              </w:rPr>
            </w:pPr>
            <w:r>
              <w:rPr>
                <w:noProof/>
                <w:sz w:val="20"/>
                <w:szCs w:val="20"/>
              </w:rPr>
              <w:drawing>
                <wp:inline distT="114300" distB="114300" distL="114300" distR="114300" wp14:anchorId="2A084988" wp14:editId="1AF9B7DB">
                  <wp:extent cx="190500" cy="190500"/>
                  <wp:effectExtent l="0" t="0" r="0" b="0"/>
                  <wp:docPr id="105" name="image1.png" descr="x"/>
                  <wp:cNvGraphicFramePr/>
                  <a:graphic xmlns:a="http://schemas.openxmlformats.org/drawingml/2006/main">
                    <a:graphicData uri="http://schemas.openxmlformats.org/drawingml/2006/picture">
                      <pic:pic xmlns:pic="http://schemas.openxmlformats.org/drawingml/2006/picture">
                        <pic:nvPicPr>
                          <pic:cNvPr id="0" name="image1.png" descr="x"/>
                          <pic:cNvPicPr preferRelativeResize="0"/>
                        </pic:nvPicPr>
                        <pic:blipFill>
                          <a:blip r:embed="rId46"/>
                          <a:srcRect/>
                          <a:stretch>
                            <a:fillRect/>
                          </a:stretch>
                        </pic:blipFill>
                        <pic:spPr>
                          <a:xfrm>
                            <a:off x="0" y="0"/>
                            <a:ext cx="190500" cy="190500"/>
                          </a:xfrm>
                          <a:prstGeom prst="rect">
                            <a:avLst/>
                          </a:prstGeom>
                          <a:ln/>
                        </pic:spPr>
                      </pic:pic>
                    </a:graphicData>
                  </a:graphic>
                </wp:inline>
              </w:drawing>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5E427661" w14:textId="77777777" w:rsidR="000F5BA5" w:rsidRDefault="00000000">
            <w:pPr>
              <w:jc w:val="center"/>
              <w:rPr>
                <w:sz w:val="20"/>
                <w:szCs w:val="20"/>
              </w:rPr>
            </w:pPr>
            <w:r>
              <w:rPr>
                <w:noProof/>
                <w:sz w:val="20"/>
                <w:szCs w:val="20"/>
              </w:rPr>
              <w:drawing>
                <wp:inline distT="114300" distB="114300" distL="114300" distR="114300" wp14:anchorId="790F110A" wp14:editId="520DAD95">
                  <wp:extent cx="190500" cy="139700"/>
                  <wp:effectExtent l="0" t="0" r="0" b="0"/>
                  <wp:docPr id="106"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tc>
      </w:tr>
      <w:tr w:rsidR="000F5BA5" w14:paraId="23AC47CA" w14:textId="77777777">
        <w:trPr>
          <w:trHeight w:val="800"/>
        </w:trPr>
        <w:tc>
          <w:tcPr>
            <w:tcW w:w="9360" w:type="dxa"/>
            <w:gridSpan w:val="3"/>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2409B688" w14:textId="77777777" w:rsidR="000F5BA5" w:rsidRDefault="00000000">
            <w:pPr>
              <w:rPr>
                <w:b/>
                <w:bCs/>
                <w:i/>
                <w:iCs/>
                <w:sz w:val="20"/>
                <w:szCs w:val="20"/>
              </w:rPr>
            </w:pPr>
            <w:r>
              <w:rPr>
                <w:b/>
                <w:bCs/>
                <w:i/>
                <w:iCs/>
                <w:sz w:val="20"/>
                <w:szCs w:val="20"/>
              </w:rPr>
              <w:t>How the financial assistance is applied:</w:t>
            </w:r>
          </w:p>
        </w:tc>
      </w:tr>
      <w:tr w:rsidR="000F5BA5" w14:paraId="3833F321" w14:textId="77777777">
        <w:trPr>
          <w:trHeight w:val="14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234AD5B2" w14:textId="77777777" w:rsidR="000F5BA5" w:rsidRDefault="00000000">
            <w:pPr>
              <w:rPr>
                <w:sz w:val="20"/>
                <w:szCs w:val="20"/>
              </w:rPr>
            </w:pPr>
            <w:r>
              <w:rPr>
                <w:sz w:val="20"/>
                <w:szCs w:val="20"/>
              </w:rPr>
              <w:t>Money sent directly to the insurer every month to lower the premium</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08F4C1D1" w14:textId="77777777" w:rsidR="000F5BA5" w:rsidRDefault="00000000">
            <w:pPr>
              <w:jc w:val="center"/>
              <w:rPr>
                <w:sz w:val="20"/>
                <w:szCs w:val="20"/>
              </w:rPr>
            </w:pPr>
            <w:r>
              <w:rPr>
                <w:noProof/>
                <w:sz w:val="20"/>
                <w:szCs w:val="20"/>
              </w:rPr>
              <w:drawing>
                <wp:inline distT="114300" distB="114300" distL="114300" distR="114300" wp14:anchorId="71C91E31" wp14:editId="4B9841AD">
                  <wp:extent cx="190500" cy="139700"/>
                  <wp:effectExtent l="0" t="0" r="0" b="0"/>
                  <wp:docPr id="107"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p w14:paraId="30BC3296" w14:textId="77777777" w:rsidR="000F5BA5" w:rsidRDefault="00000000">
            <w:pPr>
              <w:jc w:val="center"/>
              <w:rPr>
                <w:sz w:val="20"/>
                <w:szCs w:val="20"/>
              </w:rPr>
            </w:pPr>
            <w:r>
              <w:rPr>
                <w:i/>
                <w:iCs/>
                <w:sz w:val="20"/>
                <w:szCs w:val="20"/>
              </w:rPr>
              <w:t>for APTCs only</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3EED7F28" w14:textId="77777777" w:rsidR="000F5BA5" w:rsidRDefault="00000000">
            <w:pPr>
              <w:jc w:val="center"/>
              <w:rPr>
                <w:sz w:val="20"/>
                <w:szCs w:val="20"/>
              </w:rPr>
            </w:pPr>
            <w:r>
              <w:rPr>
                <w:noProof/>
                <w:sz w:val="20"/>
                <w:szCs w:val="20"/>
              </w:rPr>
              <w:drawing>
                <wp:inline distT="114300" distB="114300" distL="114300" distR="114300" wp14:anchorId="2B1C57B3" wp14:editId="795D3D4C">
                  <wp:extent cx="190500" cy="190500"/>
                  <wp:effectExtent l="0" t="0" r="0" b="0"/>
                  <wp:docPr id="108" name="image1.png" descr="x"/>
                  <wp:cNvGraphicFramePr/>
                  <a:graphic xmlns:a="http://schemas.openxmlformats.org/drawingml/2006/main">
                    <a:graphicData uri="http://schemas.openxmlformats.org/drawingml/2006/picture">
                      <pic:pic xmlns:pic="http://schemas.openxmlformats.org/drawingml/2006/picture">
                        <pic:nvPicPr>
                          <pic:cNvPr id="0" name="image1.png" descr="x"/>
                          <pic:cNvPicPr preferRelativeResize="0"/>
                        </pic:nvPicPr>
                        <pic:blipFill>
                          <a:blip r:embed="rId46"/>
                          <a:srcRect/>
                          <a:stretch>
                            <a:fillRect/>
                          </a:stretch>
                        </pic:blipFill>
                        <pic:spPr>
                          <a:xfrm>
                            <a:off x="0" y="0"/>
                            <a:ext cx="190500" cy="190500"/>
                          </a:xfrm>
                          <a:prstGeom prst="rect">
                            <a:avLst/>
                          </a:prstGeom>
                          <a:ln/>
                        </pic:spPr>
                      </pic:pic>
                    </a:graphicData>
                  </a:graphic>
                </wp:inline>
              </w:drawing>
            </w:r>
          </w:p>
        </w:tc>
      </w:tr>
      <w:tr w:rsidR="000F5BA5" w14:paraId="6FB6B03E" w14:textId="77777777">
        <w:trPr>
          <w:trHeight w:val="14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3C030B69" w14:textId="77777777" w:rsidR="000F5BA5" w:rsidRDefault="00000000">
            <w:pPr>
              <w:rPr>
                <w:sz w:val="20"/>
                <w:szCs w:val="20"/>
              </w:rPr>
            </w:pPr>
            <w:r>
              <w:rPr>
                <w:sz w:val="20"/>
                <w:szCs w:val="20"/>
              </w:rPr>
              <w:t>Money sent to the insured individual in one lump sum once their annual taxes have been filed</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5BD98D7D" w14:textId="77777777" w:rsidR="000F5BA5" w:rsidRDefault="00000000">
            <w:pPr>
              <w:jc w:val="center"/>
              <w:rPr>
                <w:sz w:val="20"/>
                <w:szCs w:val="20"/>
              </w:rPr>
            </w:pPr>
            <w:r>
              <w:rPr>
                <w:noProof/>
                <w:sz w:val="20"/>
                <w:szCs w:val="20"/>
              </w:rPr>
              <w:drawing>
                <wp:inline distT="114300" distB="114300" distL="114300" distR="114300" wp14:anchorId="0905938F" wp14:editId="35FA8DAC">
                  <wp:extent cx="190500" cy="139700"/>
                  <wp:effectExtent l="0" t="0" r="0" b="0"/>
                  <wp:docPr id="109"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p w14:paraId="4415E627" w14:textId="77777777" w:rsidR="000F5BA5" w:rsidRDefault="00000000">
            <w:pPr>
              <w:jc w:val="center"/>
              <w:rPr>
                <w:i/>
                <w:iCs/>
                <w:sz w:val="20"/>
                <w:szCs w:val="20"/>
              </w:rPr>
            </w:pPr>
            <w:r>
              <w:rPr>
                <w:i/>
                <w:iCs/>
                <w:sz w:val="20"/>
                <w:szCs w:val="20"/>
              </w:rPr>
              <w:t>for PTCs only</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172B35AB" w14:textId="77777777" w:rsidR="000F5BA5" w:rsidRDefault="00000000">
            <w:pPr>
              <w:jc w:val="center"/>
              <w:rPr>
                <w:sz w:val="20"/>
                <w:szCs w:val="20"/>
              </w:rPr>
            </w:pPr>
            <w:r>
              <w:rPr>
                <w:noProof/>
                <w:sz w:val="20"/>
                <w:szCs w:val="20"/>
              </w:rPr>
              <w:drawing>
                <wp:inline distT="114300" distB="114300" distL="114300" distR="114300" wp14:anchorId="6819C637" wp14:editId="3FD617CD">
                  <wp:extent cx="190500" cy="190500"/>
                  <wp:effectExtent l="0" t="0" r="0" b="0"/>
                  <wp:docPr id="90" name="image1.png" descr="x"/>
                  <wp:cNvGraphicFramePr/>
                  <a:graphic xmlns:a="http://schemas.openxmlformats.org/drawingml/2006/main">
                    <a:graphicData uri="http://schemas.openxmlformats.org/drawingml/2006/picture">
                      <pic:pic xmlns:pic="http://schemas.openxmlformats.org/drawingml/2006/picture">
                        <pic:nvPicPr>
                          <pic:cNvPr id="0" name="image1.png" descr="x"/>
                          <pic:cNvPicPr preferRelativeResize="0"/>
                        </pic:nvPicPr>
                        <pic:blipFill>
                          <a:blip r:embed="rId46"/>
                          <a:srcRect/>
                          <a:stretch>
                            <a:fillRect/>
                          </a:stretch>
                        </pic:blipFill>
                        <pic:spPr>
                          <a:xfrm>
                            <a:off x="0" y="0"/>
                            <a:ext cx="190500" cy="190500"/>
                          </a:xfrm>
                          <a:prstGeom prst="rect">
                            <a:avLst/>
                          </a:prstGeom>
                          <a:ln/>
                        </pic:spPr>
                      </pic:pic>
                    </a:graphicData>
                  </a:graphic>
                </wp:inline>
              </w:drawing>
            </w:r>
          </w:p>
        </w:tc>
      </w:tr>
      <w:tr w:rsidR="000F5BA5" w14:paraId="7DEA07A8" w14:textId="77777777">
        <w:trPr>
          <w:trHeight w:val="118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4E943388" w14:textId="77777777" w:rsidR="000F5BA5" w:rsidRDefault="00000000">
            <w:pPr>
              <w:rPr>
                <w:sz w:val="20"/>
                <w:szCs w:val="20"/>
              </w:rPr>
            </w:pPr>
            <w:r>
              <w:rPr>
                <w:sz w:val="20"/>
                <w:szCs w:val="20"/>
              </w:rPr>
              <w:t>Discounts given by the insurer to lower an individual's out-of-pocket costs</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2689CFBC" w14:textId="77777777" w:rsidR="000F5BA5" w:rsidRDefault="00000000">
            <w:pPr>
              <w:jc w:val="center"/>
              <w:rPr>
                <w:sz w:val="20"/>
                <w:szCs w:val="20"/>
              </w:rPr>
            </w:pPr>
            <w:r>
              <w:rPr>
                <w:noProof/>
                <w:sz w:val="20"/>
                <w:szCs w:val="20"/>
              </w:rPr>
              <w:drawing>
                <wp:inline distT="114300" distB="114300" distL="114300" distR="114300" wp14:anchorId="135BFBED" wp14:editId="4ADC6E84">
                  <wp:extent cx="190500" cy="190500"/>
                  <wp:effectExtent l="0" t="0" r="0" b="0"/>
                  <wp:docPr id="91" name="image1.png" descr="x"/>
                  <wp:cNvGraphicFramePr/>
                  <a:graphic xmlns:a="http://schemas.openxmlformats.org/drawingml/2006/main">
                    <a:graphicData uri="http://schemas.openxmlformats.org/drawingml/2006/picture">
                      <pic:pic xmlns:pic="http://schemas.openxmlformats.org/drawingml/2006/picture">
                        <pic:nvPicPr>
                          <pic:cNvPr id="0" name="image1.png" descr="x"/>
                          <pic:cNvPicPr preferRelativeResize="0"/>
                        </pic:nvPicPr>
                        <pic:blipFill>
                          <a:blip r:embed="rId46"/>
                          <a:srcRect/>
                          <a:stretch>
                            <a:fillRect/>
                          </a:stretch>
                        </pic:blipFill>
                        <pic:spPr>
                          <a:xfrm>
                            <a:off x="0" y="0"/>
                            <a:ext cx="190500" cy="190500"/>
                          </a:xfrm>
                          <a:prstGeom prst="rect">
                            <a:avLst/>
                          </a:prstGeom>
                          <a:ln/>
                        </pic:spPr>
                      </pic:pic>
                    </a:graphicData>
                  </a:graphic>
                </wp:inline>
              </w:drawing>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0FF32548" w14:textId="77777777" w:rsidR="000F5BA5" w:rsidRDefault="00000000">
            <w:pPr>
              <w:jc w:val="center"/>
              <w:rPr>
                <w:sz w:val="20"/>
                <w:szCs w:val="20"/>
              </w:rPr>
            </w:pPr>
            <w:r>
              <w:rPr>
                <w:noProof/>
                <w:sz w:val="20"/>
                <w:szCs w:val="20"/>
              </w:rPr>
              <w:drawing>
                <wp:inline distT="114300" distB="114300" distL="114300" distR="114300" wp14:anchorId="0588995F" wp14:editId="647075B3">
                  <wp:extent cx="190500" cy="139700"/>
                  <wp:effectExtent l="0" t="0" r="0" b="0"/>
                  <wp:docPr id="92"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tc>
      </w:tr>
      <w:tr w:rsidR="000F5BA5" w14:paraId="7C6AAB8C" w14:textId="77777777">
        <w:trPr>
          <w:trHeight w:val="800"/>
        </w:trPr>
        <w:tc>
          <w:tcPr>
            <w:tcW w:w="9360" w:type="dxa"/>
            <w:gridSpan w:val="3"/>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1634A355" w14:textId="77777777" w:rsidR="000F5BA5" w:rsidRDefault="00000000">
            <w:pPr>
              <w:rPr>
                <w:b/>
                <w:bCs/>
                <w:i/>
                <w:iCs/>
                <w:sz w:val="20"/>
                <w:szCs w:val="20"/>
              </w:rPr>
            </w:pPr>
            <w:r>
              <w:rPr>
                <w:b/>
                <w:bCs/>
                <w:i/>
                <w:iCs/>
                <w:sz w:val="20"/>
                <w:szCs w:val="20"/>
              </w:rPr>
              <w:t>Can they be used for the following QHP categories?</w:t>
            </w:r>
          </w:p>
        </w:tc>
      </w:tr>
      <w:tr w:rsidR="000F5BA5" w14:paraId="0D587D70" w14:textId="77777777">
        <w:trPr>
          <w:trHeight w:val="8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2344187E" w14:textId="77777777" w:rsidR="000F5BA5" w:rsidRDefault="00000000">
            <w:pPr>
              <w:rPr>
                <w:sz w:val="20"/>
                <w:szCs w:val="20"/>
              </w:rPr>
            </w:pPr>
            <w:r>
              <w:rPr>
                <w:sz w:val="20"/>
                <w:szCs w:val="20"/>
              </w:rPr>
              <w:t>Platinum</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066C4C5B" w14:textId="77777777" w:rsidR="000F5BA5" w:rsidRDefault="00000000">
            <w:pPr>
              <w:jc w:val="center"/>
              <w:rPr>
                <w:sz w:val="20"/>
                <w:szCs w:val="20"/>
              </w:rPr>
            </w:pPr>
            <w:r>
              <w:rPr>
                <w:noProof/>
                <w:sz w:val="20"/>
                <w:szCs w:val="20"/>
              </w:rPr>
              <w:drawing>
                <wp:inline distT="114300" distB="114300" distL="114300" distR="114300" wp14:anchorId="496049F7" wp14:editId="0E025ED4">
                  <wp:extent cx="190500" cy="139700"/>
                  <wp:effectExtent l="0" t="0" r="0" b="0"/>
                  <wp:docPr id="93"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03B9E37A" w14:textId="77777777" w:rsidR="000F5BA5" w:rsidRDefault="00000000">
            <w:pPr>
              <w:jc w:val="center"/>
              <w:rPr>
                <w:sz w:val="20"/>
                <w:szCs w:val="20"/>
              </w:rPr>
            </w:pPr>
            <w:r>
              <w:rPr>
                <w:noProof/>
                <w:sz w:val="20"/>
                <w:szCs w:val="20"/>
              </w:rPr>
              <w:drawing>
                <wp:inline distT="114300" distB="114300" distL="114300" distR="114300" wp14:anchorId="0BFC932E" wp14:editId="73A70CF8">
                  <wp:extent cx="190500" cy="190500"/>
                  <wp:effectExtent l="0" t="0" r="0" b="0"/>
                  <wp:docPr id="94" name="image1.png" descr="x"/>
                  <wp:cNvGraphicFramePr/>
                  <a:graphic xmlns:a="http://schemas.openxmlformats.org/drawingml/2006/main">
                    <a:graphicData uri="http://schemas.openxmlformats.org/drawingml/2006/picture">
                      <pic:pic xmlns:pic="http://schemas.openxmlformats.org/drawingml/2006/picture">
                        <pic:nvPicPr>
                          <pic:cNvPr id="0" name="image1.png" descr="x"/>
                          <pic:cNvPicPr preferRelativeResize="0"/>
                        </pic:nvPicPr>
                        <pic:blipFill>
                          <a:blip r:embed="rId46"/>
                          <a:srcRect/>
                          <a:stretch>
                            <a:fillRect/>
                          </a:stretch>
                        </pic:blipFill>
                        <pic:spPr>
                          <a:xfrm>
                            <a:off x="0" y="0"/>
                            <a:ext cx="190500" cy="190500"/>
                          </a:xfrm>
                          <a:prstGeom prst="rect">
                            <a:avLst/>
                          </a:prstGeom>
                          <a:ln/>
                        </pic:spPr>
                      </pic:pic>
                    </a:graphicData>
                  </a:graphic>
                </wp:inline>
              </w:drawing>
            </w:r>
          </w:p>
        </w:tc>
      </w:tr>
      <w:tr w:rsidR="000F5BA5" w14:paraId="287191A5" w14:textId="77777777">
        <w:trPr>
          <w:trHeight w:val="8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16D0FB6B" w14:textId="77777777" w:rsidR="000F5BA5" w:rsidRDefault="00000000">
            <w:pPr>
              <w:rPr>
                <w:sz w:val="20"/>
                <w:szCs w:val="20"/>
              </w:rPr>
            </w:pPr>
            <w:r>
              <w:rPr>
                <w:sz w:val="20"/>
                <w:szCs w:val="20"/>
              </w:rPr>
              <w:t>Gold</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6A4A0785" w14:textId="77777777" w:rsidR="000F5BA5" w:rsidRDefault="00000000">
            <w:pPr>
              <w:jc w:val="center"/>
              <w:rPr>
                <w:sz w:val="20"/>
                <w:szCs w:val="20"/>
              </w:rPr>
            </w:pPr>
            <w:r>
              <w:rPr>
                <w:noProof/>
                <w:sz w:val="20"/>
                <w:szCs w:val="20"/>
              </w:rPr>
              <w:drawing>
                <wp:inline distT="114300" distB="114300" distL="114300" distR="114300" wp14:anchorId="6AA98E50" wp14:editId="05C57599">
                  <wp:extent cx="190500" cy="139700"/>
                  <wp:effectExtent l="0" t="0" r="0" b="0"/>
                  <wp:docPr id="95"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350F5661" w14:textId="77777777" w:rsidR="000F5BA5" w:rsidRDefault="00000000">
            <w:pPr>
              <w:jc w:val="center"/>
              <w:rPr>
                <w:sz w:val="20"/>
                <w:szCs w:val="20"/>
              </w:rPr>
            </w:pPr>
            <w:r>
              <w:rPr>
                <w:noProof/>
                <w:sz w:val="20"/>
                <w:szCs w:val="20"/>
              </w:rPr>
              <w:drawing>
                <wp:inline distT="114300" distB="114300" distL="114300" distR="114300" wp14:anchorId="033D1C98" wp14:editId="5A7E9490">
                  <wp:extent cx="190500" cy="190500"/>
                  <wp:effectExtent l="0" t="0" r="0" b="0"/>
                  <wp:docPr id="96" name="image1.png" descr="x"/>
                  <wp:cNvGraphicFramePr/>
                  <a:graphic xmlns:a="http://schemas.openxmlformats.org/drawingml/2006/main">
                    <a:graphicData uri="http://schemas.openxmlformats.org/drawingml/2006/picture">
                      <pic:pic xmlns:pic="http://schemas.openxmlformats.org/drawingml/2006/picture">
                        <pic:nvPicPr>
                          <pic:cNvPr id="0" name="image1.png" descr="x"/>
                          <pic:cNvPicPr preferRelativeResize="0"/>
                        </pic:nvPicPr>
                        <pic:blipFill>
                          <a:blip r:embed="rId46"/>
                          <a:srcRect/>
                          <a:stretch>
                            <a:fillRect/>
                          </a:stretch>
                        </pic:blipFill>
                        <pic:spPr>
                          <a:xfrm>
                            <a:off x="0" y="0"/>
                            <a:ext cx="190500" cy="190500"/>
                          </a:xfrm>
                          <a:prstGeom prst="rect">
                            <a:avLst/>
                          </a:prstGeom>
                          <a:ln/>
                        </pic:spPr>
                      </pic:pic>
                    </a:graphicData>
                  </a:graphic>
                </wp:inline>
              </w:drawing>
            </w:r>
          </w:p>
        </w:tc>
      </w:tr>
      <w:tr w:rsidR="000F5BA5" w14:paraId="13FA8E04" w14:textId="77777777">
        <w:trPr>
          <w:trHeight w:val="8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27ED2895" w14:textId="77777777" w:rsidR="000F5BA5" w:rsidRDefault="00000000">
            <w:pPr>
              <w:rPr>
                <w:sz w:val="20"/>
                <w:szCs w:val="20"/>
              </w:rPr>
            </w:pPr>
            <w:r>
              <w:rPr>
                <w:sz w:val="20"/>
                <w:szCs w:val="20"/>
              </w:rPr>
              <w:t>Silver</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503A941A" w14:textId="77777777" w:rsidR="000F5BA5" w:rsidRDefault="00000000">
            <w:pPr>
              <w:jc w:val="center"/>
              <w:rPr>
                <w:sz w:val="20"/>
                <w:szCs w:val="20"/>
              </w:rPr>
            </w:pPr>
            <w:r>
              <w:rPr>
                <w:noProof/>
                <w:sz w:val="20"/>
                <w:szCs w:val="20"/>
              </w:rPr>
              <w:drawing>
                <wp:inline distT="114300" distB="114300" distL="114300" distR="114300" wp14:anchorId="45162BA3" wp14:editId="7E94D617">
                  <wp:extent cx="190500" cy="139700"/>
                  <wp:effectExtent l="0" t="0" r="0" b="0"/>
                  <wp:docPr id="97"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72507738" w14:textId="77777777" w:rsidR="000F5BA5" w:rsidRDefault="00000000">
            <w:pPr>
              <w:jc w:val="center"/>
              <w:rPr>
                <w:sz w:val="20"/>
                <w:szCs w:val="20"/>
              </w:rPr>
            </w:pPr>
            <w:r>
              <w:rPr>
                <w:noProof/>
                <w:sz w:val="20"/>
                <w:szCs w:val="20"/>
              </w:rPr>
              <w:drawing>
                <wp:inline distT="114300" distB="114300" distL="114300" distR="114300" wp14:anchorId="2EE6344E" wp14:editId="5071693B">
                  <wp:extent cx="190500" cy="139700"/>
                  <wp:effectExtent l="0" t="0" r="0" b="0"/>
                  <wp:docPr id="98"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tc>
      </w:tr>
      <w:tr w:rsidR="000F5BA5" w14:paraId="11E957DB" w14:textId="77777777">
        <w:trPr>
          <w:trHeight w:val="8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0E26EDDF" w14:textId="77777777" w:rsidR="000F5BA5" w:rsidRDefault="00000000">
            <w:pPr>
              <w:rPr>
                <w:sz w:val="20"/>
                <w:szCs w:val="20"/>
              </w:rPr>
            </w:pPr>
            <w:r>
              <w:rPr>
                <w:sz w:val="20"/>
                <w:szCs w:val="20"/>
              </w:rPr>
              <w:lastRenderedPageBreak/>
              <w:t>Bronze</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06804341" w14:textId="77777777" w:rsidR="000F5BA5" w:rsidRDefault="00000000">
            <w:pPr>
              <w:jc w:val="center"/>
              <w:rPr>
                <w:sz w:val="20"/>
                <w:szCs w:val="20"/>
              </w:rPr>
            </w:pPr>
            <w:r>
              <w:rPr>
                <w:noProof/>
                <w:sz w:val="20"/>
                <w:szCs w:val="20"/>
              </w:rPr>
              <w:drawing>
                <wp:inline distT="114300" distB="114300" distL="114300" distR="114300" wp14:anchorId="29DECE8F" wp14:editId="63A6FA6C">
                  <wp:extent cx="190500" cy="139700"/>
                  <wp:effectExtent l="0" t="0" r="0" b="0"/>
                  <wp:docPr id="99"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01A0D3C8" w14:textId="77777777" w:rsidR="000F5BA5" w:rsidRDefault="00000000">
            <w:pPr>
              <w:jc w:val="center"/>
              <w:rPr>
                <w:sz w:val="20"/>
                <w:szCs w:val="20"/>
              </w:rPr>
            </w:pPr>
            <w:r>
              <w:rPr>
                <w:noProof/>
                <w:sz w:val="20"/>
                <w:szCs w:val="20"/>
              </w:rPr>
              <w:drawing>
                <wp:inline distT="114300" distB="114300" distL="114300" distR="114300" wp14:anchorId="17E1DD19" wp14:editId="4EEBD615">
                  <wp:extent cx="190500" cy="190500"/>
                  <wp:effectExtent l="0" t="0" r="0" b="0"/>
                  <wp:docPr id="87" name="image1.png" descr="x"/>
                  <wp:cNvGraphicFramePr/>
                  <a:graphic xmlns:a="http://schemas.openxmlformats.org/drawingml/2006/main">
                    <a:graphicData uri="http://schemas.openxmlformats.org/drawingml/2006/picture">
                      <pic:pic xmlns:pic="http://schemas.openxmlformats.org/drawingml/2006/picture">
                        <pic:nvPicPr>
                          <pic:cNvPr id="0" name="image1.png" descr="x"/>
                          <pic:cNvPicPr preferRelativeResize="0"/>
                        </pic:nvPicPr>
                        <pic:blipFill>
                          <a:blip r:embed="rId46"/>
                          <a:srcRect/>
                          <a:stretch>
                            <a:fillRect/>
                          </a:stretch>
                        </pic:blipFill>
                        <pic:spPr>
                          <a:xfrm>
                            <a:off x="0" y="0"/>
                            <a:ext cx="190500" cy="190500"/>
                          </a:xfrm>
                          <a:prstGeom prst="rect">
                            <a:avLst/>
                          </a:prstGeom>
                          <a:ln/>
                        </pic:spPr>
                      </pic:pic>
                    </a:graphicData>
                  </a:graphic>
                </wp:inline>
              </w:drawing>
            </w:r>
          </w:p>
        </w:tc>
      </w:tr>
      <w:tr w:rsidR="000F5BA5" w14:paraId="064FEA23" w14:textId="77777777">
        <w:trPr>
          <w:trHeight w:val="800"/>
        </w:trPr>
        <w:tc>
          <w:tcPr>
            <w:tcW w:w="6766"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tcPr>
          <w:p w14:paraId="3FDC28E1" w14:textId="77777777" w:rsidR="000F5BA5" w:rsidRDefault="00000000">
            <w:pPr>
              <w:rPr>
                <w:sz w:val="20"/>
                <w:szCs w:val="20"/>
              </w:rPr>
            </w:pPr>
            <w:r>
              <w:rPr>
                <w:sz w:val="20"/>
                <w:szCs w:val="20"/>
              </w:rPr>
              <w:t>Reconciled at the end of the year?</w:t>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7C19072E" w14:textId="77777777" w:rsidR="000F5BA5" w:rsidRDefault="00000000">
            <w:pPr>
              <w:jc w:val="center"/>
              <w:rPr>
                <w:sz w:val="20"/>
                <w:szCs w:val="20"/>
              </w:rPr>
            </w:pPr>
            <w:r>
              <w:rPr>
                <w:noProof/>
                <w:sz w:val="20"/>
                <w:szCs w:val="20"/>
              </w:rPr>
              <w:drawing>
                <wp:inline distT="114300" distB="114300" distL="114300" distR="114300" wp14:anchorId="4880C0D7" wp14:editId="0E72D073">
                  <wp:extent cx="190500" cy="139700"/>
                  <wp:effectExtent l="0" t="0" r="0" b="0"/>
                  <wp:docPr id="88" name="image2.png" descr="check"/>
                  <wp:cNvGraphicFramePr/>
                  <a:graphic xmlns:a="http://schemas.openxmlformats.org/drawingml/2006/main">
                    <a:graphicData uri="http://schemas.openxmlformats.org/drawingml/2006/picture">
                      <pic:pic xmlns:pic="http://schemas.openxmlformats.org/drawingml/2006/picture">
                        <pic:nvPicPr>
                          <pic:cNvPr id="0" name="image2.png" descr="check"/>
                          <pic:cNvPicPr preferRelativeResize="0"/>
                        </pic:nvPicPr>
                        <pic:blipFill>
                          <a:blip r:embed="rId45"/>
                          <a:srcRect/>
                          <a:stretch>
                            <a:fillRect/>
                          </a:stretch>
                        </pic:blipFill>
                        <pic:spPr>
                          <a:xfrm>
                            <a:off x="0" y="0"/>
                            <a:ext cx="190500" cy="139700"/>
                          </a:xfrm>
                          <a:prstGeom prst="rect">
                            <a:avLst/>
                          </a:prstGeom>
                          <a:ln/>
                        </pic:spPr>
                      </pic:pic>
                    </a:graphicData>
                  </a:graphic>
                </wp:inline>
              </w:drawing>
            </w:r>
          </w:p>
        </w:tc>
        <w:tc>
          <w:tcPr>
            <w:tcW w:w="1297" w:type="dxa"/>
            <w:tcBorders>
              <w:top w:val="single" w:sz="6" w:space="0" w:color="CCCCCC"/>
              <w:left w:val="single" w:sz="6" w:space="0" w:color="CCCCCC"/>
              <w:bottom w:val="single" w:sz="6" w:space="0" w:color="CCCCCC"/>
              <w:right w:val="single" w:sz="6" w:space="0" w:color="CCCCCC"/>
            </w:tcBorders>
            <w:tcMar>
              <w:top w:w="220" w:type="dxa"/>
              <w:left w:w="220" w:type="dxa"/>
              <w:bottom w:w="220" w:type="dxa"/>
              <w:right w:w="220" w:type="dxa"/>
            </w:tcMar>
            <w:vAlign w:val="center"/>
          </w:tcPr>
          <w:p w14:paraId="67356426" w14:textId="77777777" w:rsidR="000F5BA5" w:rsidRDefault="00000000">
            <w:pPr>
              <w:jc w:val="center"/>
              <w:rPr>
                <w:sz w:val="20"/>
                <w:szCs w:val="20"/>
              </w:rPr>
            </w:pPr>
            <w:r>
              <w:rPr>
                <w:noProof/>
                <w:sz w:val="20"/>
                <w:szCs w:val="20"/>
              </w:rPr>
              <w:drawing>
                <wp:inline distT="114300" distB="114300" distL="114300" distR="114300" wp14:anchorId="65B3852C" wp14:editId="3308C812">
                  <wp:extent cx="190500" cy="190500"/>
                  <wp:effectExtent l="0" t="0" r="0" b="0"/>
                  <wp:docPr id="89" name="image1.png" descr="x"/>
                  <wp:cNvGraphicFramePr/>
                  <a:graphic xmlns:a="http://schemas.openxmlformats.org/drawingml/2006/main">
                    <a:graphicData uri="http://schemas.openxmlformats.org/drawingml/2006/picture">
                      <pic:pic xmlns:pic="http://schemas.openxmlformats.org/drawingml/2006/picture">
                        <pic:nvPicPr>
                          <pic:cNvPr id="0" name="image1.png" descr="x"/>
                          <pic:cNvPicPr preferRelativeResize="0"/>
                        </pic:nvPicPr>
                        <pic:blipFill>
                          <a:blip r:embed="rId46"/>
                          <a:srcRect/>
                          <a:stretch>
                            <a:fillRect/>
                          </a:stretch>
                        </pic:blipFill>
                        <pic:spPr>
                          <a:xfrm>
                            <a:off x="0" y="0"/>
                            <a:ext cx="190500" cy="190500"/>
                          </a:xfrm>
                          <a:prstGeom prst="rect">
                            <a:avLst/>
                          </a:prstGeom>
                          <a:ln/>
                        </pic:spPr>
                      </pic:pic>
                    </a:graphicData>
                  </a:graphic>
                </wp:inline>
              </w:drawing>
            </w:r>
          </w:p>
        </w:tc>
      </w:tr>
    </w:tbl>
    <w:p w14:paraId="42D5FC82" w14:textId="77777777" w:rsidR="000F5BA5" w:rsidRDefault="000F5BA5"/>
    <w:p w14:paraId="2644DF1F" w14:textId="77777777" w:rsidR="000F5BA5" w:rsidRDefault="00000000">
      <w:pPr>
        <w:pStyle w:val="Heading1"/>
        <w:keepNext w:val="0"/>
        <w:keepLines w:val="0"/>
      </w:pPr>
      <w:bookmarkStart w:id="19" w:name="_heading=h.xmczco97l8vg" w:colFirst="0" w:colLast="0"/>
      <w:bookmarkEnd w:id="19"/>
      <w:r>
        <w:t>Sources</w:t>
      </w:r>
    </w:p>
    <w:p w14:paraId="3B305E36" w14:textId="77777777" w:rsidR="000F5BA5" w:rsidRDefault="00000000">
      <w:pPr>
        <w:numPr>
          <w:ilvl w:val="0"/>
          <w:numId w:val="2"/>
        </w:numPr>
      </w:pPr>
      <w:r>
        <w:rPr>
          <w:color w:val="1976D2"/>
          <w:u w:val="single"/>
        </w:rPr>
        <w:t>https://www.healthcare.gov/taxes/marketplace-plan-with-savings/</w:t>
      </w:r>
    </w:p>
    <w:p w14:paraId="499B0F10" w14:textId="77777777" w:rsidR="000F5BA5" w:rsidRDefault="00000000">
      <w:pPr>
        <w:numPr>
          <w:ilvl w:val="0"/>
          <w:numId w:val="2"/>
        </w:numPr>
      </w:pPr>
      <w:hyperlink r:id="rId47">
        <w:r>
          <w:rPr>
            <w:color w:val="1155CC"/>
            <w:u w:val="single"/>
          </w:rPr>
          <w:t>http://www.irs.gov/uac/The-Premium-Tax-Credit</w:t>
        </w:r>
      </w:hyperlink>
    </w:p>
    <w:sectPr w:rsidR="000F5BA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8274E1B9-886D-41A6-AF47-C30A0A7A0B91}"/>
    <w:embedBold r:id="rId2" w:fontKey="{C9889913-A2E8-4DBF-98A7-15F0EA0555AE}"/>
    <w:embedItalic r:id="rId3" w:fontKey="{EBD5E173-2896-4DE0-91D3-AFEF31683A6C}"/>
    <w:embedBoldItalic r:id="rId4" w:fontKey="{3B3281B2-2D0D-4BAB-8531-F4F4ECA2537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3E88FE78-908B-44BA-A494-51F5926BBC24}"/>
  </w:font>
  <w:font w:name="Cambria">
    <w:panose1 w:val="02040503050406030204"/>
    <w:charset w:val="00"/>
    <w:family w:val="roman"/>
    <w:pitch w:val="variable"/>
    <w:sig w:usb0="E00006FF" w:usb1="420024FF" w:usb2="02000000" w:usb3="00000000" w:csb0="0000019F" w:csb1="00000000"/>
    <w:embedRegular r:id="rId6" w:fontKey="{493839B2-E96E-4CF4-8CA1-C214C8491CF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0F7"/>
    <w:multiLevelType w:val="multilevel"/>
    <w:tmpl w:val="304E90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84445DF"/>
    <w:multiLevelType w:val="multilevel"/>
    <w:tmpl w:val="7D94FF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9E7C15"/>
    <w:multiLevelType w:val="multilevel"/>
    <w:tmpl w:val="1EDA1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1F26A7"/>
    <w:multiLevelType w:val="multilevel"/>
    <w:tmpl w:val="193A3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B5C1593"/>
    <w:multiLevelType w:val="multilevel"/>
    <w:tmpl w:val="2FC2716A"/>
    <w:lvl w:ilvl="0">
      <w:start w:val="1"/>
      <w:numFmt w:val="decimal"/>
      <w:lvlText w:val="%1."/>
      <w:lvlJc w:val="left"/>
      <w:pPr>
        <w:ind w:left="720" w:hanging="360"/>
      </w:pPr>
      <w:rPr>
        <w:rFonts w:ascii="Roboto" w:eastAsia="Roboto" w:hAnsi="Roboto" w:cs="Roboto"/>
        <w:color w:val="2121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2400C50"/>
    <w:multiLevelType w:val="multilevel"/>
    <w:tmpl w:val="31B8C5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D31064D"/>
    <w:multiLevelType w:val="multilevel"/>
    <w:tmpl w:val="DA44F2C2"/>
    <w:lvl w:ilvl="0">
      <w:start w:val="1"/>
      <w:numFmt w:val="bullet"/>
      <w:lvlText w:val="●"/>
      <w:lvlJc w:val="left"/>
      <w:pPr>
        <w:ind w:left="720" w:hanging="360"/>
      </w:pPr>
      <w:rPr>
        <w:rFonts w:ascii="Roboto" w:eastAsia="Roboto" w:hAnsi="Roboto" w:cs="Roboto"/>
        <w:color w:val="2121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5914975">
    <w:abstractNumId w:val="4"/>
  </w:num>
  <w:num w:numId="2" w16cid:durableId="121655194">
    <w:abstractNumId w:val="1"/>
  </w:num>
  <w:num w:numId="3" w16cid:durableId="1589122231">
    <w:abstractNumId w:val="0"/>
  </w:num>
  <w:num w:numId="4" w16cid:durableId="822234901">
    <w:abstractNumId w:val="5"/>
  </w:num>
  <w:num w:numId="5" w16cid:durableId="1841694752">
    <w:abstractNumId w:val="6"/>
  </w:num>
  <w:num w:numId="6" w16cid:durableId="1618609174">
    <w:abstractNumId w:val="2"/>
  </w:num>
  <w:num w:numId="7" w16cid:durableId="1866404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BA5"/>
    <w:rsid w:val="000F5BA5"/>
    <w:rsid w:val="00702F45"/>
    <w:rsid w:val="00E67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A9604"/>
  <w15:docId w15:val="{EDBC2921-B127-4942-80C6-12B1C00EC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color w:val="212121"/>
        <w:sz w:val="24"/>
        <w:szCs w:val="24"/>
        <w:lang w:val="en"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bCs/>
      <w:sz w:val="28"/>
      <w:szCs w:val="28"/>
    </w:rPr>
  </w:style>
  <w:style w:type="paragraph" w:styleId="Heading2">
    <w:name w:val="heading 2"/>
    <w:basedOn w:val="Normal"/>
    <w:next w:val="Normal"/>
    <w:uiPriority w:val="9"/>
    <w:unhideWhenUsed/>
    <w:qFormat/>
    <w:pPr>
      <w:keepNext/>
      <w:keepLines/>
      <w:outlineLvl w:val="1"/>
    </w:pPr>
    <w:rPr>
      <w:b/>
      <w:bCs/>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b/>
      <w:bCs/>
      <w:sz w:val="48"/>
      <w:szCs w:val="48"/>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paragraph" w:styleId="Revision">
    <w:name w:val="Revision"/>
    <w:hidden/>
    <w:uiPriority w:val="99"/>
    <w:semiHidden/>
    <w:rsid w:val="00213BDB"/>
    <w:pPr>
      <w:spacing w:line="240" w:lineRule="auto"/>
    </w:pPr>
  </w:style>
  <w:style w:type="character" w:styleId="CommentReference">
    <w:name w:val="annotation reference"/>
    <w:basedOn w:val="DefaultParagraphFont"/>
    <w:uiPriority w:val="99"/>
    <w:semiHidden/>
    <w:unhideWhenUsed/>
    <w:rsid w:val="007170FB"/>
    <w:rPr>
      <w:sz w:val="16"/>
      <w:szCs w:val="16"/>
    </w:rPr>
  </w:style>
  <w:style w:type="paragraph" w:styleId="CommentText">
    <w:name w:val="annotation text"/>
    <w:basedOn w:val="Normal"/>
    <w:link w:val="CommentTextChar"/>
    <w:uiPriority w:val="99"/>
    <w:unhideWhenUsed/>
    <w:rsid w:val="007170FB"/>
    <w:pPr>
      <w:spacing w:line="240" w:lineRule="auto"/>
    </w:pPr>
    <w:rPr>
      <w:sz w:val="20"/>
      <w:szCs w:val="20"/>
    </w:rPr>
  </w:style>
  <w:style w:type="character" w:customStyle="1" w:styleId="CommentTextChar">
    <w:name w:val="Comment Text Char"/>
    <w:basedOn w:val="DefaultParagraphFont"/>
    <w:link w:val="CommentText"/>
    <w:uiPriority w:val="99"/>
    <w:rsid w:val="007170FB"/>
    <w:rPr>
      <w:sz w:val="20"/>
      <w:szCs w:val="20"/>
    </w:rPr>
  </w:style>
  <w:style w:type="paragraph" w:styleId="CommentSubject">
    <w:name w:val="annotation subject"/>
    <w:basedOn w:val="CommentText"/>
    <w:next w:val="CommentText"/>
    <w:link w:val="CommentSubjectChar"/>
    <w:uiPriority w:val="99"/>
    <w:semiHidden/>
    <w:unhideWhenUsed/>
    <w:rsid w:val="007170FB"/>
    <w:rPr>
      <w:b/>
      <w:bCs/>
    </w:rPr>
  </w:style>
  <w:style w:type="character" w:customStyle="1" w:styleId="CommentSubjectChar">
    <w:name w:val="Comment Subject Char"/>
    <w:basedOn w:val="CommentTextChar"/>
    <w:link w:val="CommentSubject"/>
    <w:uiPriority w:val="99"/>
    <w:semiHidden/>
    <w:rsid w:val="007170FB"/>
    <w:rPr>
      <w:b/>
      <w:bCs/>
      <w:sz w:val="20"/>
      <w:szCs w:val="20"/>
    </w:rPr>
  </w:style>
  <w:style w:type="table" w:customStyle="1" w:styleId="a0">
    <w:basedOn w:val="NormalTable0"/>
    <w:tblPr>
      <w:tblStyleRowBandSize w:val="1"/>
      <w:tblStyleColBandSize w:val="1"/>
    </w:tbl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argethiv.org/library/faq-premium-tax-credits-ptcs-and-cost-sharing-reductions-csrs" TargetMode="External"/><Relationship Id="rId18" Type="http://schemas.openxmlformats.org/officeDocument/2006/relationships/hyperlink" Target="https://targethiv.org/library/faq-premium-tax-credits-ptcs-and-cost-sharing-reductions-csrs" TargetMode="External"/><Relationship Id="rId26" Type="http://schemas.openxmlformats.org/officeDocument/2006/relationships/image" Target="media/image3.png"/><Relationship Id="rId39" Type="http://schemas.openxmlformats.org/officeDocument/2006/relationships/hyperlink" Target="https://targethiv.org/library/faq-premium-tax-credits-ptcs-and-cost-sharing-reductions-csrs" TargetMode="External"/><Relationship Id="rId21" Type="http://schemas.openxmlformats.org/officeDocument/2006/relationships/hyperlink" Target="https://www.healthcare.gov/glossary/minimum-essential-coverage/" TargetMode="External"/><Relationship Id="rId34" Type="http://schemas.openxmlformats.org/officeDocument/2006/relationships/hyperlink" Target="https://targethiv.org/library/faq-premium-tax-credits-ptcs-and-cost-sharing-reductions-csrs" TargetMode="External"/><Relationship Id="rId42" Type="http://schemas.openxmlformats.org/officeDocument/2006/relationships/hyperlink" Target="https://www.irs.gov/forms-pubs/about-form-8962" TargetMode="External"/><Relationship Id="rId47" Type="http://schemas.openxmlformats.org/officeDocument/2006/relationships/hyperlink" Target="https://www.irs.gov/affordable-care-act/individuals-and-families/the-premium-tax-credit-the-basics" TargetMode="External"/><Relationship Id="rId7" Type="http://schemas.openxmlformats.org/officeDocument/2006/relationships/hyperlink" Target="https://targethiv.org/library/faq-premium-tax-credits-ptcs-and-cost-sharing-reductions-csrs" TargetMode="External"/><Relationship Id="rId2" Type="http://schemas.openxmlformats.org/officeDocument/2006/relationships/numbering" Target="numbering.xml"/><Relationship Id="rId16" Type="http://schemas.openxmlformats.org/officeDocument/2006/relationships/hyperlink" Target="https://targethiv.org/library/faq-premium-tax-credits-ptcs-and-cost-sharing-reductions-csrs" TargetMode="External"/><Relationship Id="rId29" Type="http://schemas.openxmlformats.org/officeDocument/2006/relationships/hyperlink" Target="https://www.irs.gov/pub/irs-pdf/p3865.pdf" TargetMode="External"/><Relationship Id="rId11" Type="http://schemas.openxmlformats.org/officeDocument/2006/relationships/hyperlink" Target="https://targethiv.org/library/faq-premium-tax-credits-ptcs-and-cost-sharing-reductions-csrs" TargetMode="External"/><Relationship Id="rId24" Type="http://schemas.openxmlformats.org/officeDocument/2006/relationships/hyperlink" Target="https://targethiv.org/library/faq-premium-tax-credits-ptcs-and-cost-sharing-reductions-csrs" TargetMode="External"/><Relationship Id="rId32" Type="http://schemas.openxmlformats.org/officeDocument/2006/relationships/hyperlink" Target="https://targethiv.org/library/faq-premium-tax-credits-ptcs-and-cost-sharing-reductions-csrs" TargetMode="External"/><Relationship Id="rId37" Type="http://schemas.openxmlformats.org/officeDocument/2006/relationships/hyperlink" Target="https://ryanwhite.hrsa.gov/sites/default/files/ryanwhite/grants/1401-policy-clarification.pdf" TargetMode="External"/><Relationship Id="rId40" Type="http://schemas.openxmlformats.org/officeDocument/2006/relationships/hyperlink" Target="https://targethiv.org/ace/special-enrollment-periods-consumer-fact-sheet" TargetMode="External"/><Relationship Id="rId45"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targethiv.org/library/faq-premium-tax-credits-ptcs-and-cost-sharing-reductions-csrs" TargetMode="External"/><Relationship Id="rId23" Type="http://schemas.openxmlformats.org/officeDocument/2006/relationships/hyperlink" Target="https://www.healthcare.gov/glossary/minimum-essential-coverage/" TargetMode="External"/><Relationship Id="rId28" Type="http://schemas.openxmlformats.org/officeDocument/2006/relationships/hyperlink" Target="https://targethiv.org/library/faq-premium-tax-credits-ptcs-and-cost-sharing-reductions-csrs" TargetMode="External"/><Relationship Id="rId36" Type="http://schemas.openxmlformats.org/officeDocument/2006/relationships/hyperlink" Target="https://ryanwhite.hrsa.gov/sites/default/files/ryanwhite/grants/18-01-use-rwhap-funds-premium-cost-sharing-assistance.pdf" TargetMode="External"/><Relationship Id="rId49" Type="http://schemas.openxmlformats.org/officeDocument/2006/relationships/theme" Target="theme/theme1.xml"/><Relationship Id="rId10" Type="http://schemas.openxmlformats.org/officeDocument/2006/relationships/hyperlink" Target="https://targethiv.org/library/faq-premium-tax-credits-ptcs-and-cost-sharing-reductions-csrs" TargetMode="External"/><Relationship Id="rId19" Type="http://schemas.openxmlformats.org/officeDocument/2006/relationships/hyperlink" Target="https://targethiv.org/library/faq-premium-tax-credits-ptcs-and-cost-sharing-reductions-csrs" TargetMode="External"/><Relationship Id="rId31" Type="http://schemas.openxmlformats.org/officeDocument/2006/relationships/hyperlink" Target="https://targethiv.org/library/faq-premium-tax-credits-ptcs-and-cost-sharing-reductions-csrs" TargetMode="External"/><Relationship Id="rId44" Type="http://schemas.openxmlformats.org/officeDocument/2006/relationships/hyperlink" Target="https://targethiv.org/library/faq-premium-tax-credits-ptcs-and-cost-sharing-reductions-csrs" TargetMode="External"/><Relationship Id="rId4" Type="http://schemas.openxmlformats.org/officeDocument/2006/relationships/settings" Target="settings.xml"/><Relationship Id="rId9" Type="http://schemas.openxmlformats.org/officeDocument/2006/relationships/hyperlink" Target="https://targethiv.org/library/faq-premium-tax-credits-ptcs-and-cost-sharing-reductions-csrs" TargetMode="External"/><Relationship Id="rId14" Type="http://schemas.openxmlformats.org/officeDocument/2006/relationships/hyperlink" Target="https://targethiv.org/library/faq-premium-tax-credits-ptcs-and-cost-sharing-reductions-csrs" TargetMode="External"/><Relationship Id="rId22" Type="http://schemas.openxmlformats.org/officeDocument/2006/relationships/image" Target="media/image2.png"/><Relationship Id="rId27" Type="http://schemas.openxmlformats.org/officeDocument/2006/relationships/hyperlink" Target="https://targethiv.org/library/faq-premium-tax-credits-ptcs-and-cost-sharing-reductions-csrs" TargetMode="External"/><Relationship Id="rId30" Type="http://schemas.openxmlformats.org/officeDocument/2006/relationships/hyperlink" Target="https://targethiv.org/library/faq-premium-tax-credits-ptcs-and-cost-sharing-reductions-csrs" TargetMode="External"/><Relationship Id="rId35" Type="http://schemas.openxmlformats.org/officeDocument/2006/relationships/hyperlink" Target="https://ryanwhite.hrsa.gov/hiv-care/hotlines" TargetMode="External"/><Relationship Id="rId43" Type="http://schemas.openxmlformats.org/officeDocument/2006/relationships/hyperlink" Target="https://targethiv.org/library/faq-premium-tax-credits-ptcs-and-cost-sharing-reductions-csrs" TargetMode="External"/><Relationship Id="rId48" Type="http://schemas.openxmlformats.org/officeDocument/2006/relationships/fontTable" Target="fontTable.xml"/><Relationship Id="rId8" Type="http://schemas.openxmlformats.org/officeDocument/2006/relationships/hyperlink" Target="https://targethiv.org/library/faq-premium-tax-credits-ptcs-and-cost-sharing-reductions-csrs" TargetMode="External"/><Relationship Id="rId3" Type="http://schemas.openxmlformats.org/officeDocument/2006/relationships/styles" Target="styles.xml"/><Relationship Id="rId12" Type="http://schemas.openxmlformats.org/officeDocument/2006/relationships/hyperlink" Target="https://targethiv.org/library/faq-premium-tax-credits-ptcs-and-cost-sharing-reductions-csrs" TargetMode="External"/><Relationship Id="rId17" Type="http://schemas.openxmlformats.org/officeDocument/2006/relationships/hyperlink" Target="https://targethiv.org/library/faq-premium-tax-credits-ptcs-and-cost-sharing-reductions-csrs" TargetMode="External"/><Relationship Id="rId25" Type="http://schemas.openxmlformats.org/officeDocument/2006/relationships/hyperlink" Target="https://targethiv.org/library/faq-premium-tax-credits-ptcs-and-cost-sharing-reductions-csrs" TargetMode="External"/><Relationship Id="rId33" Type="http://schemas.openxmlformats.org/officeDocument/2006/relationships/hyperlink" Target="https://nastad.org/member-directory/areas?area=7" TargetMode="External"/><Relationship Id="rId38" Type="http://schemas.openxmlformats.org/officeDocument/2006/relationships/hyperlink" Target="https://targethiv.org/library/faq-premium-tax-credits-ptcs-and-cost-sharing-reductions-csrs" TargetMode="External"/><Relationship Id="rId46" Type="http://schemas.openxmlformats.org/officeDocument/2006/relationships/image" Target="media/image5.png"/><Relationship Id="rId20" Type="http://schemas.openxmlformats.org/officeDocument/2006/relationships/image" Target="media/image1.png"/><Relationship Id="rId41" Type="http://schemas.openxmlformats.org/officeDocument/2006/relationships/hyperlink" Target="https://targethiv.org/library/faq-premium-tax-credits-ptcs-and-cost-sharing-reductions-csrs" TargetMode="External"/><Relationship Id="rId1" Type="http://schemas.openxmlformats.org/officeDocument/2006/relationships/customXml" Target="../customXml/item1.xml"/><Relationship Id="rId6" Type="http://schemas.openxmlformats.org/officeDocument/2006/relationships/hyperlink" Target="https://targethiv.org/library/faq-premium-tax-credits-ptcs-and-cost-sharing-reductions-csr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4oNWZtV1zYsty/fRs2fykpbZGQ==">CgMxLjAyDmguc2xjODZ6YzlzOGRrMg5oLnAwZDNmMmo5OWV6azIOaC4yNmRyNHhqNzB2amUyDmguNGdyZWUyb2QxN3VuMg5oLndxcXRzMmJkcmp5cjIOaC5qeG5xNWZhcmg1a2kyDmguZW4wMGxkY2NkbTR0Mg5oLnR0Z3htbzN4bGNnNjIOaC41NXllN2w1bXBsbGIyDmgua3ZlOGZ2NGpkaDM3Mg5oLjFzdnBwa3RweGp6dDIOaC4yOXkyMnk1cXI4ODgyDmguanBmaTMydGY4Zmo2Mg5oLmg1MjBtcnMwaHIybTIOaC5sYXliZm5xZXIzb3AyDmguMnF5NHRseDZxeGtmMg5oLmFjZWxqcWEwOXk3cTIOaC52MjZ2bHZldnprOW4yDmguZGpveG02NjZqMmtmMg5oLnhtY3pjbzk3bDh2ZzgAciExZWpBYkpQMDg2ck0wazNWZXNlM3hDRGRKVHVja2lOTD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2706</Words>
  <Characters>15429</Characters>
  <Application>Microsoft Office Word</Application>
  <DocSecurity>0</DocSecurity>
  <Lines>128</Lines>
  <Paragraphs>36</Paragraphs>
  <ScaleCrop>false</ScaleCrop>
  <Company/>
  <LinksUpToDate>false</LinksUpToDate>
  <CharactersWithSpaces>18099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Kenney, Cara (HRSA)</dc:creator>
  <cp:lastModifiedBy>Chandler Douglas</cp:lastModifiedBy>
  <cp:revision>3</cp:revision>
  <dcterms:created xsi:type="dcterms:W3CDTF">2026-09-29T12:40:00Z</dcterms:created>
  <dcterms:modified xsi:type="dcterms:W3CDTF">2026-10-05T18:52:00Z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0x0101003484BB8EC490D649827DB6B3C6FC104C</vt:lpwstr>
  </property>
  <property fmtid="{D5CDD505-2E9C-101B-9397-08002B2CF9AE}" pid="3" name="MediaServiceImageTags">
    <vt:lpwstr/>
  </property>
  <property fmtid="{D5CDD505-2E9C-101B-9397-08002B2CF9AE}" pid="4" name="docLang">
    <vt:lpwstr>en</vt:lpwstr>
  </property>
</Properties>
</file>